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4576" w14:textId="77777777" w:rsidR="007E23DB" w:rsidRPr="00A516DD" w:rsidRDefault="007E23DB" w:rsidP="00A516DD">
      <w:pPr>
        <w:pStyle w:val="Default"/>
        <w:shd w:val="clear" w:color="auto" w:fill="FFFFFF" w:themeFill="background1"/>
        <w:spacing w:line="276" w:lineRule="auto"/>
        <w:rPr>
          <w:rFonts w:ascii="Century Gothic" w:hAnsi="Century Gothic"/>
          <w:b/>
        </w:rPr>
      </w:pPr>
      <w:r w:rsidRPr="00A516DD">
        <w:rPr>
          <w:rFonts w:ascii="Century Gothic" w:hAnsi="Century Gothic"/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88E203B" wp14:editId="2F77711E">
            <wp:simplePos x="0" y="0"/>
            <wp:positionH relativeFrom="column">
              <wp:posOffset>-721995</wp:posOffset>
            </wp:positionH>
            <wp:positionV relativeFrom="paragraph">
              <wp:posOffset>-13335</wp:posOffset>
            </wp:positionV>
            <wp:extent cx="980440" cy="1099820"/>
            <wp:effectExtent l="0" t="0" r="0" b="5080"/>
            <wp:wrapTight wrapText="bothSides">
              <wp:wrapPolygon edited="0">
                <wp:start x="0" y="0"/>
                <wp:lineTo x="0" y="21326"/>
                <wp:lineTo x="20984" y="21326"/>
                <wp:lineTo x="209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B680AF" w14:textId="77777777" w:rsidR="007E23DB" w:rsidRPr="00A516DD" w:rsidRDefault="007E23DB" w:rsidP="00A516DD">
      <w:pPr>
        <w:pStyle w:val="Default"/>
        <w:shd w:val="clear" w:color="auto" w:fill="FFFFFF" w:themeFill="background1"/>
        <w:spacing w:line="276" w:lineRule="auto"/>
        <w:rPr>
          <w:rFonts w:ascii="Century Gothic" w:hAnsi="Century Gothic"/>
          <w:b/>
        </w:rPr>
      </w:pPr>
    </w:p>
    <w:p w14:paraId="7073719E" w14:textId="77777777" w:rsidR="004876DB" w:rsidRPr="00C84235" w:rsidRDefault="00A516DD" w:rsidP="00A516DD">
      <w:pPr>
        <w:pStyle w:val="Default"/>
        <w:shd w:val="clear" w:color="auto" w:fill="FFFFFF" w:themeFill="background1"/>
        <w:spacing w:line="276" w:lineRule="auto"/>
        <w:rPr>
          <w:rFonts w:asciiTheme="minorHAnsi" w:hAnsiTheme="minorHAnsi" w:cstheme="minorHAnsi"/>
          <w:b/>
          <w:u w:val="single"/>
        </w:rPr>
      </w:pPr>
      <w:r w:rsidRPr="00C84235">
        <w:rPr>
          <w:rFonts w:asciiTheme="minorHAnsi" w:hAnsiTheme="minorHAnsi" w:cstheme="minorHAnsi"/>
          <w:b/>
          <w:u w:val="single"/>
        </w:rPr>
        <w:t xml:space="preserve">Designated Teacher for looked after children </w:t>
      </w:r>
    </w:p>
    <w:p w14:paraId="17DAB582" w14:textId="77777777" w:rsidR="004876DB" w:rsidRPr="00C84235" w:rsidRDefault="004876DB" w:rsidP="00A516DD">
      <w:pPr>
        <w:pStyle w:val="Default"/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p w14:paraId="3C72007D" w14:textId="77777777" w:rsidR="00A516DD" w:rsidRPr="00C84235" w:rsidRDefault="00A516DD" w:rsidP="00A516DD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b/>
          <w:sz w:val="24"/>
          <w:szCs w:val="24"/>
        </w:rPr>
      </w:pPr>
      <w:bookmarkStart w:id="0" w:name="statment"/>
      <w:bookmarkStart w:id="1" w:name="statement"/>
    </w:p>
    <w:p w14:paraId="7C898117" w14:textId="77777777" w:rsidR="00A516DD" w:rsidRPr="00C84235" w:rsidRDefault="00A516DD" w:rsidP="00A516DD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b/>
          <w:sz w:val="24"/>
          <w:szCs w:val="24"/>
        </w:rPr>
      </w:pPr>
      <w:r w:rsidRPr="00C84235">
        <w:rPr>
          <w:rFonts w:asciiTheme="minorHAnsi" w:hAnsiTheme="minorHAnsi" w:cstheme="minorHAnsi"/>
          <w:b/>
          <w:sz w:val="24"/>
          <w:szCs w:val="24"/>
        </w:rPr>
        <w:t>Statement of intent</w:t>
      </w:r>
    </w:p>
    <w:bookmarkEnd w:id="0"/>
    <w:bookmarkEnd w:id="1"/>
    <w:p w14:paraId="422A4CB6" w14:textId="77777777" w:rsidR="00A516DD" w:rsidRPr="00C84235" w:rsidRDefault="00A516DD" w:rsidP="00A516DD">
      <w:pPr>
        <w:rPr>
          <w:rFonts w:asciiTheme="minorHAnsi" w:hAnsiTheme="minorHAnsi" w:cstheme="minorHAnsi"/>
          <w:sz w:val="24"/>
          <w:szCs w:val="24"/>
        </w:rPr>
      </w:pPr>
    </w:p>
    <w:p w14:paraId="6BCDB79C" w14:textId="77777777" w:rsidR="00A516DD" w:rsidRPr="00C84235" w:rsidRDefault="00A516DD" w:rsidP="00A516DD">
      <w:pPr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 xml:space="preserve">Educational achievement and subsequent life chances for looked after children are of real concern. Children and young people who are looked after </w:t>
      </w:r>
      <w:r w:rsidR="00C84235" w:rsidRPr="00C84235">
        <w:rPr>
          <w:rFonts w:asciiTheme="minorHAnsi" w:hAnsiTheme="minorHAnsi" w:cstheme="minorHAnsi"/>
          <w:sz w:val="24"/>
          <w:szCs w:val="24"/>
        </w:rPr>
        <w:t>requiring</w:t>
      </w:r>
      <w:r w:rsidRPr="00C84235">
        <w:rPr>
          <w:rFonts w:asciiTheme="minorHAnsi" w:hAnsiTheme="minorHAnsi" w:cstheme="minorHAnsi"/>
          <w:sz w:val="24"/>
          <w:szCs w:val="24"/>
        </w:rPr>
        <w:t xml:space="preserve"> special treatment and positive discrimination in their favour in order to improve their situation. </w:t>
      </w:r>
    </w:p>
    <w:p w14:paraId="4E09BF2D" w14:textId="77777777" w:rsidR="00A516DD" w:rsidRPr="00C84235" w:rsidRDefault="00A516DD" w:rsidP="00A516DD">
      <w:pPr>
        <w:rPr>
          <w:rFonts w:asciiTheme="minorHAnsi" w:hAnsiTheme="minorHAnsi" w:cstheme="minorHAnsi"/>
          <w:sz w:val="24"/>
          <w:szCs w:val="24"/>
        </w:rPr>
      </w:pPr>
    </w:p>
    <w:p w14:paraId="66F80394" w14:textId="77777777" w:rsidR="00A516DD" w:rsidRPr="00C84235" w:rsidRDefault="00A516DD" w:rsidP="00A516DD">
      <w:pPr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Watchorn Christian School endeavours to provide positive experiences and offer stability, safety, continuity and individual care and attention for all our pupils. With this in mind, we aim to:</w:t>
      </w:r>
    </w:p>
    <w:p w14:paraId="53AE23A0" w14:textId="77777777" w:rsidR="00A516DD" w:rsidRPr="00C84235" w:rsidRDefault="00A516DD" w:rsidP="00A516DD">
      <w:pPr>
        <w:pStyle w:val="TSB-PolicyBullets"/>
        <w:spacing w:after="200" w:line="276" w:lineRule="auto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Encourage pupils to reach the highest standards of which they are capable and to make good progress from what they are currently already able to do.</w:t>
      </w:r>
    </w:p>
    <w:p w14:paraId="5A998950" w14:textId="77777777" w:rsidR="00A516DD" w:rsidRPr="00C84235" w:rsidRDefault="00A516DD" w:rsidP="00A516DD">
      <w:pPr>
        <w:pStyle w:val="TSB-PolicyBullets"/>
        <w:spacing w:after="200" w:line="276" w:lineRule="auto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Ensure that pupils enjoy high quality teaching and are enjoying a curriculum which meets their needs and the requirements of legislation.</w:t>
      </w:r>
    </w:p>
    <w:p w14:paraId="4F35BA3F" w14:textId="77777777" w:rsidR="00A516DD" w:rsidRPr="00C84235" w:rsidRDefault="00A516DD" w:rsidP="00A516DD">
      <w:pPr>
        <w:pStyle w:val="TSB-PolicyBullets"/>
        <w:spacing w:after="200" w:line="276" w:lineRule="auto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Plan realistically and using the school’s resources efficiently in order to ensure the school meets the needs of the children.</w:t>
      </w:r>
    </w:p>
    <w:p w14:paraId="5B36EA36" w14:textId="77777777" w:rsidR="00A516DD" w:rsidRPr="00C84235" w:rsidRDefault="00A516DD" w:rsidP="00A516DD">
      <w:pPr>
        <w:pStyle w:val="TSB-PolicyBullets"/>
        <w:spacing w:after="200" w:line="276" w:lineRule="auto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 xml:space="preserve">Promote a positive approach in all aspects of school life. </w:t>
      </w:r>
    </w:p>
    <w:p w14:paraId="64C405F6" w14:textId="77777777" w:rsidR="00A516DD" w:rsidRPr="00C84235" w:rsidRDefault="00A516DD" w:rsidP="00A516DD">
      <w:pPr>
        <w:pStyle w:val="TSB-PolicyBullets"/>
        <w:spacing w:after="200" w:line="276" w:lineRule="auto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 xml:space="preserve">Help pupils develop their cultural, moral and social understanding. </w:t>
      </w:r>
    </w:p>
    <w:p w14:paraId="4F25A13B" w14:textId="77777777" w:rsidR="00A516DD" w:rsidRPr="00C84235" w:rsidRDefault="00A516DD" w:rsidP="00A516DD">
      <w:pPr>
        <w:pStyle w:val="TSB-PolicyBullets"/>
        <w:numPr>
          <w:ilvl w:val="0"/>
          <w:numId w:val="0"/>
        </w:numPr>
        <w:ind w:left="1418"/>
        <w:rPr>
          <w:rFonts w:asciiTheme="minorHAnsi" w:hAnsiTheme="minorHAnsi" w:cstheme="minorHAnsi"/>
          <w:sz w:val="24"/>
          <w:szCs w:val="24"/>
        </w:rPr>
      </w:pPr>
    </w:p>
    <w:p w14:paraId="71A73FBA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2" w:name="_Peafowl_and_the"/>
      <w:bookmarkStart w:id="3" w:name="_Section_1"/>
      <w:bookmarkStart w:id="4" w:name="_Legal_framework"/>
      <w:bookmarkEnd w:id="2"/>
      <w:bookmarkEnd w:id="3"/>
      <w:bookmarkEnd w:id="4"/>
      <w:r w:rsidRPr="00C84235">
        <w:rPr>
          <w:rFonts w:asciiTheme="minorHAnsi" w:hAnsiTheme="minorHAnsi" w:cstheme="minorHAnsi"/>
          <w:sz w:val="24"/>
          <w:szCs w:val="24"/>
        </w:rPr>
        <w:t>Legal framework</w:t>
      </w:r>
    </w:p>
    <w:p w14:paraId="3844C6F8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This policy has due regard to legislation including, but not limited to, the following:</w:t>
      </w:r>
    </w:p>
    <w:p w14:paraId="4191F06F" w14:textId="77777777" w:rsidR="00A516DD" w:rsidRPr="00C84235" w:rsidRDefault="00A516DD" w:rsidP="00A516DD">
      <w:pPr>
        <w:pStyle w:val="TSB-PolicyBullets"/>
        <w:numPr>
          <w:ilvl w:val="0"/>
          <w:numId w:val="2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The Children Act 1989</w:t>
      </w:r>
    </w:p>
    <w:p w14:paraId="16C1B216" w14:textId="77777777" w:rsidR="00A516DD" w:rsidRPr="00C84235" w:rsidRDefault="00A516DD" w:rsidP="00A516DD">
      <w:pPr>
        <w:pStyle w:val="TSB-PolicyBullets"/>
        <w:numPr>
          <w:ilvl w:val="0"/>
          <w:numId w:val="2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The Care Planning, Placement and Case Review (England)</w:t>
      </w:r>
      <w:r w:rsidR="00C84235">
        <w:rPr>
          <w:rFonts w:asciiTheme="minorHAnsi" w:hAnsiTheme="minorHAnsi" w:cstheme="minorHAnsi"/>
          <w:sz w:val="24"/>
          <w:szCs w:val="24"/>
        </w:rPr>
        <w:t xml:space="preserve"> </w:t>
      </w:r>
      <w:r w:rsidRPr="00C84235">
        <w:rPr>
          <w:rFonts w:asciiTheme="minorHAnsi" w:hAnsiTheme="minorHAnsi" w:cstheme="minorHAnsi"/>
          <w:sz w:val="24"/>
          <w:szCs w:val="24"/>
        </w:rPr>
        <w:t>Regulations 2010</w:t>
      </w:r>
    </w:p>
    <w:p w14:paraId="1FD9AEB7" w14:textId="77777777" w:rsidR="00A516DD" w:rsidRPr="00C84235" w:rsidRDefault="00A516DD" w:rsidP="00A516DD">
      <w:pPr>
        <w:pStyle w:val="TSB-PolicyBullets"/>
        <w:numPr>
          <w:ilvl w:val="0"/>
          <w:numId w:val="2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The Children (Leaving Care) Act 2000</w:t>
      </w:r>
    </w:p>
    <w:p w14:paraId="7D106936" w14:textId="77777777" w:rsidR="00A516DD" w:rsidRPr="00C84235" w:rsidRDefault="00A516DD" w:rsidP="00A516DD">
      <w:pPr>
        <w:pStyle w:val="TSB-PolicyBullets"/>
        <w:numPr>
          <w:ilvl w:val="0"/>
          <w:numId w:val="2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The Children and Young Persons Act 2008</w:t>
      </w:r>
    </w:p>
    <w:p w14:paraId="79A12870" w14:textId="77777777" w:rsidR="00A516DD" w:rsidRPr="00C84235" w:rsidRDefault="00A516DD" w:rsidP="00A516DD">
      <w:pPr>
        <w:pStyle w:val="TSB-PolicyBullets"/>
        <w:numPr>
          <w:ilvl w:val="0"/>
          <w:numId w:val="21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The Children and Families Act 2014</w:t>
      </w:r>
    </w:p>
    <w:p w14:paraId="36993937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This policy will be implemented in conjunction with the school’s:</w:t>
      </w:r>
    </w:p>
    <w:p w14:paraId="2F34B571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Admissions Policy.</w:t>
      </w:r>
    </w:p>
    <w:p w14:paraId="14218E50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Code of Conduct.</w:t>
      </w:r>
    </w:p>
    <w:p w14:paraId="665D59DE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Behaviour Policy.</w:t>
      </w:r>
    </w:p>
    <w:p w14:paraId="264D8C71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Home School Agreement.</w:t>
      </w:r>
    </w:p>
    <w:p w14:paraId="08118905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Anti-bullying Policy.</w:t>
      </w:r>
    </w:p>
    <w:p w14:paraId="23C2409C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lastRenderedPageBreak/>
        <w:t>Equality and Diversity Policy.</w:t>
      </w:r>
    </w:p>
    <w:p w14:paraId="6E35788F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Child Protection Policy.</w:t>
      </w:r>
    </w:p>
    <w:p w14:paraId="145F08A1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Special Educational Needs Policy.</w:t>
      </w:r>
    </w:p>
    <w:p w14:paraId="1CDAB393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5" w:name="_Noise_disturbance"/>
      <w:bookmarkStart w:id="6" w:name="_Section_2"/>
      <w:bookmarkStart w:id="7" w:name="_Definitions"/>
      <w:bookmarkEnd w:id="5"/>
      <w:bookmarkEnd w:id="6"/>
      <w:bookmarkEnd w:id="7"/>
      <w:r w:rsidRPr="00C84235">
        <w:rPr>
          <w:rFonts w:asciiTheme="minorHAnsi" w:hAnsiTheme="minorHAnsi" w:cstheme="minorHAnsi"/>
          <w:sz w:val="24"/>
          <w:szCs w:val="24"/>
        </w:rPr>
        <w:t>Definitions</w:t>
      </w:r>
    </w:p>
    <w:p w14:paraId="0D27D2E4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Looked after children are defined as, children or young people who are subject of a Care Order or Interim Care Order under the Children Act 1989. </w:t>
      </w:r>
    </w:p>
    <w:p w14:paraId="4BD2290E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This definition applies to children who are placed in foster care, children’s residential homes, with relatives or friends, in semi-independent or supported independent accommodation. </w:t>
      </w:r>
    </w:p>
    <w:p w14:paraId="587DC8B7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If a child is subject to a Care or Interim Care Order whilst placed with a parent, they are classed as looked after, since the LA has parental responsibility.</w:t>
      </w:r>
    </w:p>
    <w:p w14:paraId="6C89EB05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Children who are not subject to an </w:t>
      </w:r>
      <w:r w:rsidR="00C84235" w:rsidRPr="00C84235">
        <w:rPr>
          <w:rFonts w:asciiTheme="minorHAnsi" w:hAnsiTheme="minorHAnsi"/>
          <w:sz w:val="24"/>
          <w:szCs w:val="24"/>
        </w:rPr>
        <w:t>order but</w:t>
      </w:r>
      <w:r w:rsidRPr="00C84235">
        <w:rPr>
          <w:rFonts w:asciiTheme="minorHAnsi" w:hAnsiTheme="minorHAnsi"/>
          <w:sz w:val="24"/>
          <w:szCs w:val="24"/>
        </w:rPr>
        <w:t xml:space="preserve"> are accommodated by the LA under an agreement with their parents, are regarded as looked after.</w:t>
      </w:r>
    </w:p>
    <w:p w14:paraId="020A1728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8" w:name="_Damage_caused_by"/>
      <w:bookmarkStart w:id="9" w:name="_Section_3"/>
      <w:bookmarkEnd w:id="8"/>
      <w:bookmarkEnd w:id="9"/>
      <w:r w:rsidRPr="00C84235">
        <w:rPr>
          <w:rFonts w:asciiTheme="minorHAnsi" w:hAnsiTheme="minorHAnsi" w:cstheme="minorHAnsi"/>
          <w:sz w:val="24"/>
          <w:szCs w:val="24"/>
        </w:rPr>
        <w:t>Personal education plans (PEPs)</w:t>
      </w:r>
    </w:p>
    <w:p w14:paraId="58270237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Every looked after child must have a personal education plan (PEP), which is used to support the child in fulfilling their educational potential.</w:t>
      </w:r>
    </w:p>
    <w:p w14:paraId="6B8CEA05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PEP is an evolving record of what needs to happen for the child to enable them to make their expected progress.</w:t>
      </w:r>
    </w:p>
    <w:p w14:paraId="17FAC432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PEP will reflect the importance of a personalised approach to learning which meets the identified educational needs of the child.</w:t>
      </w:r>
    </w:p>
    <w:p w14:paraId="0A4567BE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All the relevant bodies, such as the LA, the designated teacher and other teachers, will work with the child in creating the PEP.</w:t>
      </w:r>
    </w:p>
    <w:p w14:paraId="23A992A2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PEP will include access to nursery provision that is appropriate to the child’s age.</w:t>
      </w:r>
    </w:p>
    <w:p w14:paraId="3B6B0394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On-going, catch-up support will be made available for children who have fallen behind with work.</w:t>
      </w:r>
    </w:p>
    <w:p w14:paraId="13751D7C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If a child is moving to a new school, transitional support will be provided and will be factored into their PEP.</w:t>
      </w:r>
    </w:p>
    <w:p w14:paraId="0EF8D3EC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Support will be provided to help the child meet their aspirations, including:</w:t>
      </w:r>
    </w:p>
    <w:p w14:paraId="7AE6CF36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lastRenderedPageBreak/>
        <w:t>Support to achieve expected levels of progress for the relevant national curriculum key stage and to complete an appropriate range of approved qualifications.</w:t>
      </w:r>
    </w:p>
    <w:p w14:paraId="03A83997" w14:textId="77777777" w:rsidR="00A516DD" w:rsidRPr="00C84235" w:rsidRDefault="00A516DD" w:rsidP="00A516DD">
      <w:pPr>
        <w:pStyle w:val="TSB-PolicyBullets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C84235">
        <w:rPr>
          <w:rFonts w:asciiTheme="minorHAnsi" w:hAnsiTheme="minorHAnsi" w:cstheme="minorHAnsi"/>
          <w:sz w:val="24"/>
          <w:szCs w:val="24"/>
        </w:rPr>
        <w:t>Careers advice, guidance and financial information about further education, training and employment.</w:t>
      </w:r>
    </w:p>
    <w:p w14:paraId="67B609C7" w14:textId="77777777" w:rsidR="00A516DD" w:rsidRPr="00C84235" w:rsidRDefault="00A516DD" w:rsidP="00A516DD">
      <w:pPr>
        <w:pStyle w:val="TSB-Level1Numbers"/>
        <w:numPr>
          <w:ilvl w:val="1"/>
          <w:numId w:val="23"/>
        </w:numPr>
        <w:spacing w:after="200" w:line="276" w:lineRule="auto"/>
        <w:ind w:hanging="290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PEP will include extended services such as after school clubs, study support and leisure interests.</w:t>
      </w:r>
    </w:p>
    <w:p w14:paraId="4DA212C6" w14:textId="77777777" w:rsidR="00A516DD" w:rsidRPr="00C84235" w:rsidRDefault="00A516DD" w:rsidP="00A516DD">
      <w:pPr>
        <w:pStyle w:val="TSB-Level1Numbers"/>
        <w:numPr>
          <w:ilvl w:val="1"/>
          <w:numId w:val="23"/>
        </w:numPr>
        <w:spacing w:after="200" w:line="276" w:lineRule="auto"/>
        <w:ind w:hanging="290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Support will be provided for improving attendance and behaviour. </w:t>
      </w:r>
    </w:p>
    <w:p w14:paraId="5DB71CF4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10" w:name="_Section_4"/>
      <w:bookmarkStart w:id="11" w:name="_The_designated_teacher"/>
      <w:bookmarkEnd w:id="10"/>
      <w:bookmarkEnd w:id="11"/>
      <w:r w:rsidRPr="00C84235">
        <w:rPr>
          <w:rFonts w:asciiTheme="minorHAnsi" w:hAnsiTheme="minorHAnsi" w:cstheme="minorHAnsi"/>
          <w:sz w:val="24"/>
          <w:szCs w:val="24"/>
        </w:rPr>
        <w:t>The designated teacher</w:t>
      </w:r>
    </w:p>
    <w:p w14:paraId="54DEB37A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Under the Children and Young Persons Act 2008, all maintained schools are required to have a designated teacher for looked after children. </w:t>
      </w:r>
    </w:p>
    <w:p w14:paraId="7E982C4E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primary duty of the designated teacher is to promote the educational achievement of looked after children at the school.</w:t>
      </w:r>
    </w:p>
    <w:p w14:paraId="2EE89623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It is the responsibility of the governing body to ensure the designated teacher has received adequate training for the role.</w:t>
      </w:r>
    </w:p>
    <w:p w14:paraId="2BD4827A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designated teacher must submit an annual report to the governing body, which details the progress of looked after children.</w:t>
      </w:r>
    </w:p>
    <w:p w14:paraId="129E39EC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designated teacher will:</w:t>
      </w:r>
    </w:p>
    <w:p w14:paraId="5B20BDAB" w14:textId="77777777" w:rsidR="00A516DD" w:rsidRPr="00C84235" w:rsidRDefault="00A516DD" w:rsidP="00A516DD">
      <w:pPr>
        <w:pStyle w:val="TSB-Level1Numbers"/>
        <w:numPr>
          <w:ilvl w:val="3"/>
          <w:numId w:val="24"/>
        </w:numPr>
        <w:spacing w:line="276" w:lineRule="auto"/>
        <w:ind w:left="1843" w:hanging="425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Promote a culture of high expectations and aspirations.</w:t>
      </w:r>
    </w:p>
    <w:p w14:paraId="12192609" w14:textId="77777777" w:rsidR="00A516DD" w:rsidRPr="00C84235" w:rsidRDefault="00A516DD" w:rsidP="00A516DD">
      <w:pPr>
        <w:pStyle w:val="TSB-Level1Numbers"/>
        <w:numPr>
          <w:ilvl w:val="3"/>
          <w:numId w:val="24"/>
        </w:numPr>
        <w:spacing w:line="276" w:lineRule="auto"/>
        <w:ind w:left="1843" w:hanging="425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Ensure the child is involved in setting their targets.</w:t>
      </w:r>
    </w:p>
    <w:p w14:paraId="69D4E3BC" w14:textId="77777777" w:rsidR="00A516DD" w:rsidRPr="00C84235" w:rsidRDefault="00A516DD" w:rsidP="00A516DD">
      <w:pPr>
        <w:pStyle w:val="TSB-Level1Numbers"/>
        <w:numPr>
          <w:ilvl w:val="3"/>
          <w:numId w:val="24"/>
        </w:numPr>
        <w:spacing w:line="276" w:lineRule="auto"/>
        <w:ind w:left="1843" w:hanging="425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Advise staff on teaching strategies for looked after children.</w:t>
      </w:r>
    </w:p>
    <w:p w14:paraId="2731938B" w14:textId="77777777" w:rsidR="00A516DD" w:rsidRPr="00C84235" w:rsidRDefault="00A516DD" w:rsidP="00A516DD">
      <w:pPr>
        <w:pStyle w:val="TSB-Level1Numbers"/>
        <w:numPr>
          <w:ilvl w:val="3"/>
          <w:numId w:val="24"/>
        </w:numPr>
        <w:spacing w:line="276" w:lineRule="auto"/>
        <w:ind w:left="1843" w:hanging="425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Ensure that looked after children are prioritised for 1 – 1 tuition.</w:t>
      </w:r>
    </w:p>
    <w:p w14:paraId="33F5F2B8" w14:textId="77777777" w:rsidR="00A516DD" w:rsidRPr="00C84235" w:rsidRDefault="00A516DD" w:rsidP="00A516DD">
      <w:pPr>
        <w:pStyle w:val="TSB-Level1Numbers"/>
        <w:numPr>
          <w:ilvl w:val="3"/>
          <w:numId w:val="24"/>
        </w:numPr>
        <w:spacing w:line="276" w:lineRule="auto"/>
        <w:ind w:left="1843" w:hanging="425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Take responsibility for developing and implementing PEPs.</w:t>
      </w:r>
    </w:p>
    <w:p w14:paraId="7E4F874D" w14:textId="77777777" w:rsidR="00A516DD" w:rsidRPr="00C84235" w:rsidRDefault="00A516DD" w:rsidP="00A516DD">
      <w:pPr>
        <w:rPr>
          <w:rFonts w:asciiTheme="minorHAnsi" w:hAnsiTheme="minorHAnsi" w:cstheme="minorHAnsi"/>
          <w:sz w:val="24"/>
          <w:szCs w:val="24"/>
        </w:rPr>
      </w:pPr>
    </w:p>
    <w:p w14:paraId="4C0688BD" w14:textId="77777777" w:rsidR="00A516DD" w:rsidRPr="00C84235" w:rsidRDefault="00A516DD" w:rsidP="00A516DD">
      <w:pPr>
        <w:rPr>
          <w:rFonts w:asciiTheme="minorHAnsi" w:hAnsiTheme="minorHAnsi" w:cstheme="minorHAnsi"/>
          <w:sz w:val="24"/>
          <w:szCs w:val="24"/>
        </w:rPr>
      </w:pPr>
    </w:p>
    <w:p w14:paraId="31B88690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12" w:name="_Communicating_with_agencies"/>
      <w:bookmarkEnd w:id="12"/>
      <w:r w:rsidRPr="00C84235">
        <w:rPr>
          <w:rFonts w:asciiTheme="minorHAnsi" w:hAnsiTheme="minorHAnsi" w:cstheme="minorHAnsi"/>
          <w:sz w:val="24"/>
          <w:szCs w:val="24"/>
        </w:rPr>
        <w:t>Communicating with agencies</w:t>
      </w:r>
    </w:p>
    <w:p w14:paraId="0F0F1C3B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school will ensure that copies of all relevant reports are forwarded to the looked after children’s social workers, in addition to carers or residential social workers.</w:t>
      </w:r>
    </w:p>
    <w:p w14:paraId="51BAB5B6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school will co-ordinate their review meetings, for example, hold their annual review of looked after children with their statutory care review.</w:t>
      </w:r>
    </w:p>
    <w:p w14:paraId="02D9DC64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The school will work with other agencies to exchange information such as changes in circumstances, exclusions or attendance issues. </w:t>
      </w:r>
    </w:p>
    <w:p w14:paraId="7AE89090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13" w:name="_Headteacher_responsibilities"/>
      <w:bookmarkEnd w:id="13"/>
      <w:r w:rsidRPr="00C84235">
        <w:rPr>
          <w:rFonts w:asciiTheme="minorHAnsi" w:hAnsiTheme="minorHAnsi" w:cstheme="minorHAnsi"/>
          <w:sz w:val="24"/>
          <w:szCs w:val="24"/>
        </w:rPr>
        <w:lastRenderedPageBreak/>
        <w:t>Headteacher responsibilities</w:t>
      </w:r>
    </w:p>
    <w:p w14:paraId="46FED2E9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It is the responsibility of the headteacher to oversee this policy and monitor its implementation.</w:t>
      </w:r>
    </w:p>
    <w:p w14:paraId="38EE0318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headteacher will make all members of staff aware that the support of looked after children is a key priority.</w:t>
      </w:r>
    </w:p>
    <w:p w14:paraId="1DF99061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headteacher will allow the designated teacher the time and facilities to succeed in carrying out their duties.</w:t>
      </w:r>
    </w:p>
    <w:p w14:paraId="0A2498DB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The headteacher will lead in actively challenging negative stereotypes of looked after children.</w:t>
      </w:r>
    </w:p>
    <w:p w14:paraId="3908C534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14" w:name="_Staff_responsibilities"/>
      <w:bookmarkEnd w:id="14"/>
      <w:r w:rsidRPr="00C84235">
        <w:rPr>
          <w:rFonts w:asciiTheme="minorHAnsi" w:hAnsiTheme="minorHAnsi" w:cstheme="minorHAnsi"/>
          <w:sz w:val="24"/>
          <w:szCs w:val="24"/>
        </w:rPr>
        <w:t>Staff responsibilities</w:t>
      </w:r>
    </w:p>
    <w:p w14:paraId="208225D9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Staff will be aware of looked after children in their classes and provide them with support and encouragement.</w:t>
      </w:r>
    </w:p>
    <w:p w14:paraId="3BF2B406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Staff will preserve confidentiality and show sensitivity and understanding. </w:t>
      </w:r>
    </w:p>
    <w:p w14:paraId="68F11AE0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>Staff will be vigilant for signs of bullying</w:t>
      </w:r>
    </w:p>
    <w:p w14:paraId="04A0F545" w14:textId="77777777" w:rsidR="00A516D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Staff will promote the self-esteem of looked after children. </w:t>
      </w:r>
    </w:p>
    <w:p w14:paraId="2DEE0F24" w14:textId="77777777" w:rsidR="00A516DD" w:rsidRPr="00C84235" w:rsidRDefault="00A516DD" w:rsidP="00A516DD">
      <w:pPr>
        <w:pStyle w:val="Heading1"/>
        <w:numPr>
          <w:ilvl w:val="0"/>
          <w:numId w:val="20"/>
        </w:numPr>
        <w:spacing w:after="200" w:line="276" w:lineRule="auto"/>
        <w:ind w:left="993" w:hanging="636"/>
        <w:jc w:val="left"/>
        <w:rPr>
          <w:rFonts w:asciiTheme="minorHAnsi" w:hAnsiTheme="minorHAnsi" w:cstheme="minorHAnsi"/>
          <w:sz w:val="24"/>
          <w:szCs w:val="24"/>
        </w:rPr>
      </w:pPr>
      <w:bookmarkStart w:id="15" w:name="_Encountering_peafowl"/>
      <w:bookmarkStart w:id="16" w:name="_Resolving_disputes"/>
      <w:bookmarkStart w:id="17" w:name="_Inclusion"/>
      <w:bookmarkStart w:id="18" w:name="_Policy_review"/>
      <w:bookmarkEnd w:id="15"/>
      <w:bookmarkEnd w:id="16"/>
      <w:bookmarkEnd w:id="17"/>
      <w:bookmarkEnd w:id="18"/>
      <w:r w:rsidRPr="00C84235">
        <w:rPr>
          <w:rFonts w:asciiTheme="minorHAnsi" w:hAnsiTheme="minorHAnsi" w:cstheme="minorHAnsi"/>
          <w:sz w:val="24"/>
          <w:szCs w:val="24"/>
        </w:rPr>
        <w:t>Policy review</w:t>
      </w:r>
    </w:p>
    <w:p w14:paraId="20C79EF6" w14:textId="77777777" w:rsidR="00204B3D" w:rsidRPr="00C84235" w:rsidRDefault="00A516DD" w:rsidP="00A516DD">
      <w:pPr>
        <w:pStyle w:val="TSB-Level1Numbers"/>
        <w:numPr>
          <w:ilvl w:val="1"/>
          <w:numId w:val="20"/>
        </w:numPr>
        <w:spacing w:after="200" w:line="276" w:lineRule="auto"/>
        <w:ind w:left="1480" w:hanging="482"/>
        <w:jc w:val="left"/>
        <w:rPr>
          <w:rFonts w:asciiTheme="minorHAnsi" w:hAnsiTheme="minorHAnsi"/>
          <w:sz w:val="24"/>
          <w:szCs w:val="24"/>
        </w:rPr>
      </w:pPr>
      <w:r w:rsidRPr="00C84235">
        <w:rPr>
          <w:rFonts w:asciiTheme="minorHAnsi" w:hAnsiTheme="minorHAnsi"/>
          <w:sz w:val="24"/>
          <w:szCs w:val="24"/>
        </w:rPr>
        <w:t xml:space="preserve">This policy is reviewed </w:t>
      </w:r>
      <w:r w:rsidR="00024D75">
        <w:rPr>
          <w:rFonts w:asciiTheme="minorHAnsi" w:hAnsiTheme="minorHAnsi"/>
          <w:sz w:val="24"/>
          <w:szCs w:val="24"/>
        </w:rPr>
        <w:t xml:space="preserve">annually </w:t>
      </w:r>
      <w:r w:rsidRPr="00C84235">
        <w:rPr>
          <w:rFonts w:asciiTheme="minorHAnsi" w:hAnsiTheme="minorHAnsi"/>
          <w:sz w:val="24"/>
          <w:szCs w:val="24"/>
        </w:rPr>
        <w:t>by the designated teacher and the headteacher</w:t>
      </w:r>
      <w:r w:rsidR="00C84235">
        <w:rPr>
          <w:rFonts w:asciiTheme="minorHAnsi" w:hAnsiTheme="minorHAnsi"/>
          <w:sz w:val="24"/>
          <w:szCs w:val="24"/>
        </w:rPr>
        <w:t xml:space="preserve"> along with the Governing Body</w:t>
      </w:r>
      <w:r w:rsidRPr="00C84235">
        <w:rPr>
          <w:rFonts w:asciiTheme="minorHAnsi" w:hAnsiTheme="minorHAnsi"/>
          <w:sz w:val="24"/>
          <w:szCs w:val="24"/>
        </w:rPr>
        <w:t xml:space="preserve">. </w:t>
      </w:r>
    </w:p>
    <w:p w14:paraId="252A16C4" w14:textId="77777777" w:rsidR="00204B3D" w:rsidRPr="00C84235" w:rsidRDefault="00204B3D" w:rsidP="00204B3D">
      <w:pPr>
        <w:pStyle w:val="TSB-Level1Numbers"/>
        <w:numPr>
          <w:ilvl w:val="0"/>
          <w:numId w:val="0"/>
        </w:num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</w:p>
    <w:p w14:paraId="5AB8170C" w14:textId="314E0A1C" w:rsidR="00C84235" w:rsidRPr="00E2196F" w:rsidRDefault="00C84235" w:rsidP="00C84235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This policy was reviewed by the schools Governing Body on </w:t>
      </w:r>
      <w:r w:rsidR="00550BA5">
        <w:rPr>
          <w:rFonts w:ascii="Century Gothic" w:hAnsi="Century Gothic"/>
          <w:b/>
        </w:rPr>
        <w:t>29.09.2025</w:t>
      </w:r>
      <w:r>
        <w:rPr>
          <w:rFonts w:ascii="Century Gothic" w:hAnsi="Century Gothic"/>
          <w:b/>
        </w:rPr>
        <w:t xml:space="preserve"> and will be reviewed annually. </w:t>
      </w:r>
    </w:p>
    <w:p w14:paraId="635909E3" w14:textId="77777777" w:rsidR="00A516DD" w:rsidRPr="00C84235" w:rsidRDefault="00A516DD" w:rsidP="00A516DD">
      <w:pPr>
        <w:pStyle w:val="TSB-Level1Numbers"/>
        <w:numPr>
          <w:ilvl w:val="0"/>
          <w:numId w:val="0"/>
        </w:numPr>
        <w:spacing w:after="200" w:line="276" w:lineRule="auto"/>
        <w:ind w:left="1480"/>
        <w:jc w:val="left"/>
        <w:rPr>
          <w:rFonts w:asciiTheme="minorHAnsi" w:hAnsiTheme="minorHAnsi"/>
          <w:sz w:val="24"/>
          <w:szCs w:val="24"/>
        </w:rPr>
      </w:pPr>
    </w:p>
    <w:p w14:paraId="69DD4432" w14:textId="77777777" w:rsidR="003C27C5" w:rsidRPr="00C84235" w:rsidRDefault="003C27C5" w:rsidP="00A516DD">
      <w:pPr>
        <w:pStyle w:val="Default"/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</w:p>
    <w:sectPr w:rsidR="003C27C5" w:rsidRPr="00C84235" w:rsidSect="0093200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84C9" w14:textId="77777777" w:rsidR="00DF24F7" w:rsidRDefault="00DF24F7" w:rsidP="007E23DB">
      <w:r>
        <w:separator/>
      </w:r>
    </w:p>
  </w:endnote>
  <w:endnote w:type="continuationSeparator" w:id="0">
    <w:p w14:paraId="1DE0E7F1" w14:textId="77777777" w:rsidR="00DF24F7" w:rsidRDefault="00DF24F7" w:rsidP="007E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437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B130F" w14:textId="77777777" w:rsidR="001034B6" w:rsidRDefault="007C1206">
        <w:pPr>
          <w:pStyle w:val="Footer"/>
        </w:pPr>
        <w:r>
          <w:fldChar w:fldCharType="begin"/>
        </w:r>
        <w:r w:rsidR="001034B6">
          <w:instrText xml:space="preserve"> PAGE   \* MERGEFORMAT </w:instrText>
        </w:r>
        <w:r>
          <w:fldChar w:fldCharType="separate"/>
        </w:r>
        <w:r w:rsidR="00A516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371618" w14:textId="77777777" w:rsidR="001034B6" w:rsidRDefault="00103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3032" w14:textId="77777777" w:rsidR="00DF24F7" w:rsidRDefault="00DF24F7" w:rsidP="007E23DB">
      <w:r>
        <w:separator/>
      </w:r>
    </w:p>
  </w:footnote>
  <w:footnote w:type="continuationSeparator" w:id="0">
    <w:p w14:paraId="3A9325C8" w14:textId="77777777" w:rsidR="00DF24F7" w:rsidRDefault="00DF24F7" w:rsidP="007E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D628" w14:textId="77777777" w:rsidR="00A516DD" w:rsidRPr="00A516DD" w:rsidRDefault="00024D75" w:rsidP="00A516DD">
    <w:pPr>
      <w:pStyle w:val="Default"/>
      <w:shd w:val="clear" w:color="auto" w:fill="FFFFFF" w:themeFill="background1"/>
      <w:spacing w:line="276" w:lineRule="auto"/>
      <w:rPr>
        <w:rFonts w:ascii="Century Gothic" w:hAnsi="Century Gothic"/>
        <w:sz w:val="20"/>
        <w:szCs w:val="20"/>
      </w:rPr>
    </w:pPr>
    <w:r>
      <w:rPr>
        <w:noProof/>
      </w:rPr>
      <mc:AlternateContent>
        <mc:Choice Requires="wps">
          <w:drawing>
            <wp:anchor distT="3599" distB="3599" distL="114300" distR="114300" simplePos="0" relativeHeight="251659264" behindDoc="0" locked="0" layoutInCell="1" allowOverlap="1" wp14:anchorId="5C37380D" wp14:editId="4D6E217D">
              <wp:simplePos x="0" y="0"/>
              <wp:positionH relativeFrom="column">
                <wp:posOffset>-548640</wp:posOffset>
              </wp:positionH>
              <wp:positionV relativeFrom="paragraph">
                <wp:posOffset>210184</wp:posOffset>
              </wp:positionV>
              <wp:extent cx="6957695" cy="0"/>
              <wp:effectExtent l="0" t="0" r="190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576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0C42B154" id="Straight Connector 2" o:spid="_x0000_s1026" style="position:absolute;z-index:251659264;visibility:visible;mso-wrap-style:square;mso-width-percent:0;mso-height-percent:0;mso-wrap-distance-left:9pt;mso-wrap-distance-top:.09997mm;mso-wrap-distance-right:9pt;mso-wrap-distance-bottom:.09997mm;mso-position-horizontal:absolute;mso-position-horizontal-relative:text;mso-position-vertical:absolute;mso-position-vertical-relative:text;mso-width-percent:0;mso-height-percent:0;mso-width-relative:page;mso-height-relative:page" from="-43.2pt,16.55pt" to="50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" strokecolor="#f79646">
              <o:lock v:ext="edit" shapetype="f"/>
            </v:line>
          </w:pict>
        </mc:Fallback>
      </mc:AlternateContent>
    </w:r>
    <w:r w:rsidR="007E23DB" w:rsidRPr="00A516DD">
      <w:rPr>
        <w:rFonts w:ascii="Century Gothic" w:hAnsi="Century Gothic"/>
        <w:sz w:val="20"/>
        <w:szCs w:val="20"/>
      </w:rPr>
      <w:t xml:space="preserve">Watchorn Christian School: </w:t>
    </w:r>
    <w:r w:rsidR="00A516DD" w:rsidRPr="00A516DD">
      <w:rPr>
        <w:rFonts w:ascii="Century Gothic" w:hAnsi="Century Gothic"/>
        <w:sz w:val="20"/>
        <w:szCs w:val="20"/>
      </w:rPr>
      <w:t xml:space="preserve">Designated Teacher for looked after children </w:t>
    </w:r>
  </w:p>
  <w:p w14:paraId="542FA44E" w14:textId="77777777" w:rsidR="007E23DB" w:rsidRPr="00901B60" w:rsidRDefault="007E23DB" w:rsidP="007E23DB">
    <w:pPr>
      <w:pStyle w:val="Header"/>
      <w:rPr>
        <w:rFonts w:ascii="Century Gothic" w:hAnsi="Century Gothic"/>
        <w:sz w:val="18"/>
        <w:szCs w:val="18"/>
      </w:rPr>
    </w:pPr>
  </w:p>
  <w:p w14:paraId="42BF3434" w14:textId="77777777" w:rsidR="007E23DB" w:rsidRDefault="007E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36B"/>
    <w:multiLevelType w:val="hybridMultilevel"/>
    <w:tmpl w:val="2998FA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666561"/>
    <w:multiLevelType w:val="hybridMultilevel"/>
    <w:tmpl w:val="F6B2D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D5011"/>
    <w:multiLevelType w:val="hybridMultilevel"/>
    <w:tmpl w:val="A87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1A63"/>
    <w:multiLevelType w:val="hybridMultilevel"/>
    <w:tmpl w:val="F9E6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34B9"/>
    <w:multiLevelType w:val="hybridMultilevel"/>
    <w:tmpl w:val="B1BAE056"/>
    <w:lvl w:ilvl="0" w:tplc="CD48F118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974"/>
    <w:multiLevelType w:val="hybridMultilevel"/>
    <w:tmpl w:val="3990B78C"/>
    <w:lvl w:ilvl="0" w:tplc="7D02256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</w:abstractNum>
  <w:abstractNum w:abstractNumId="6" w15:restartNumberingAfterBreak="0">
    <w:nsid w:val="2E90170C"/>
    <w:multiLevelType w:val="hybridMultilevel"/>
    <w:tmpl w:val="C0F2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65C7F"/>
    <w:multiLevelType w:val="hybridMultilevel"/>
    <w:tmpl w:val="6270D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182"/>
    <w:multiLevelType w:val="hybridMultilevel"/>
    <w:tmpl w:val="AE84B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92447"/>
    <w:multiLevelType w:val="hybridMultilevel"/>
    <w:tmpl w:val="026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6C40BFB"/>
    <w:multiLevelType w:val="hybridMultilevel"/>
    <w:tmpl w:val="B09E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53A"/>
    <w:multiLevelType w:val="hybridMultilevel"/>
    <w:tmpl w:val="7DA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4C70"/>
    <w:multiLevelType w:val="hybridMultilevel"/>
    <w:tmpl w:val="0D802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4C72C8"/>
    <w:multiLevelType w:val="hybridMultilevel"/>
    <w:tmpl w:val="638671CC"/>
    <w:lvl w:ilvl="0" w:tplc="CD48F118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4257"/>
    <w:multiLevelType w:val="hybridMultilevel"/>
    <w:tmpl w:val="C0F4C4D4"/>
    <w:lvl w:ilvl="0" w:tplc="7D02256E">
      <w:start w:val="1"/>
      <w:numFmt w:val="bullet"/>
      <w:pStyle w:val="TSB-PolicyBullets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6B945717"/>
    <w:multiLevelType w:val="hybridMultilevel"/>
    <w:tmpl w:val="B60C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41320"/>
    <w:multiLevelType w:val="hybridMultilevel"/>
    <w:tmpl w:val="F18C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F3E7556"/>
    <w:multiLevelType w:val="hybridMultilevel"/>
    <w:tmpl w:val="5442E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5115F9"/>
    <w:multiLevelType w:val="hybridMultilevel"/>
    <w:tmpl w:val="4384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883400">
    <w:abstractNumId w:val="2"/>
  </w:num>
  <w:num w:numId="2" w16cid:durableId="1151025390">
    <w:abstractNumId w:val="6"/>
  </w:num>
  <w:num w:numId="3" w16cid:durableId="213395010">
    <w:abstractNumId w:val="11"/>
  </w:num>
  <w:num w:numId="4" w16cid:durableId="705057257">
    <w:abstractNumId w:val="1"/>
  </w:num>
  <w:num w:numId="5" w16cid:durableId="1300455672">
    <w:abstractNumId w:val="12"/>
  </w:num>
  <w:num w:numId="6" w16cid:durableId="180626911">
    <w:abstractNumId w:val="9"/>
  </w:num>
  <w:num w:numId="7" w16cid:durableId="2119640865">
    <w:abstractNumId w:val="18"/>
  </w:num>
  <w:num w:numId="8" w16cid:durableId="1678464181">
    <w:abstractNumId w:val="17"/>
  </w:num>
  <w:num w:numId="9" w16cid:durableId="1665621693">
    <w:abstractNumId w:val="0"/>
  </w:num>
  <w:num w:numId="10" w16cid:durableId="1146320777">
    <w:abstractNumId w:val="3"/>
  </w:num>
  <w:num w:numId="11" w16cid:durableId="286395330">
    <w:abstractNumId w:val="8"/>
  </w:num>
  <w:num w:numId="12" w16cid:durableId="1821773382">
    <w:abstractNumId w:val="4"/>
  </w:num>
  <w:num w:numId="13" w16cid:durableId="1280256285">
    <w:abstractNumId w:val="7"/>
  </w:num>
  <w:num w:numId="14" w16cid:durableId="1864564">
    <w:abstractNumId w:val="13"/>
  </w:num>
  <w:num w:numId="15" w16cid:durableId="895431335">
    <w:abstractNumId w:val="15"/>
  </w:num>
  <w:num w:numId="16" w16cid:durableId="2128812710">
    <w:abstractNumId w:val="21"/>
  </w:num>
  <w:num w:numId="17" w16cid:durableId="1110928808">
    <w:abstractNumId w:val="19"/>
  </w:num>
  <w:num w:numId="18" w16cid:durableId="1850833693">
    <w:abstractNumId w:val="14"/>
  </w:num>
  <w:num w:numId="19" w16cid:durableId="1888836557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050301553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70605671">
    <w:abstractNumId w:val="20"/>
  </w:num>
  <w:num w:numId="22" w16cid:durableId="62611120">
    <w:abstractNumId w:val="16"/>
  </w:num>
  <w:num w:numId="23" w16cid:durableId="2062748757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993527545">
    <w:abstractNumId w:val="5"/>
  </w:num>
  <w:num w:numId="25" w16cid:durableId="1145322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DB"/>
    <w:rsid w:val="00024D75"/>
    <w:rsid w:val="00051A1E"/>
    <w:rsid w:val="00052C1D"/>
    <w:rsid w:val="000C6743"/>
    <w:rsid w:val="000F6198"/>
    <w:rsid w:val="000F6B96"/>
    <w:rsid w:val="001034B6"/>
    <w:rsid w:val="001066A4"/>
    <w:rsid w:val="00111028"/>
    <w:rsid w:val="001154B1"/>
    <w:rsid w:val="001A5062"/>
    <w:rsid w:val="001F3CED"/>
    <w:rsid w:val="00204B3D"/>
    <w:rsid w:val="00240FED"/>
    <w:rsid w:val="00270400"/>
    <w:rsid w:val="00351A6E"/>
    <w:rsid w:val="00394C8A"/>
    <w:rsid w:val="003C27C5"/>
    <w:rsid w:val="00481221"/>
    <w:rsid w:val="004876DB"/>
    <w:rsid w:val="00550BA5"/>
    <w:rsid w:val="00551F46"/>
    <w:rsid w:val="00757875"/>
    <w:rsid w:val="007C1206"/>
    <w:rsid w:val="007E23DB"/>
    <w:rsid w:val="00815678"/>
    <w:rsid w:val="008D5CDA"/>
    <w:rsid w:val="009169A2"/>
    <w:rsid w:val="00926B5C"/>
    <w:rsid w:val="00932005"/>
    <w:rsid w:val="009406EE"/>
    <w:rsid w:val="00976D68"/>
    <w:rsid w:val="00A02A77"/>
    <w:rsid w:val="00A06BA7"/>
    <w:rsid w:val="00A516DD"/>
    <w:rsid w:val="00B04CB7"/>
    <w:rsid w:val="00BA5686"/>
    <w:rsid w:val="00BF3632"/>
    <w:rsid w:val="00C506EB"/>
    <w:rsid w:val="00C71BA1"/>
    <w:rsid w:val="00C84235"/>
    <w:rsid w:val="00D00359"/>
    <w:rsid w:val="00D2568C"/>
    <w:rsid w:val="00D84551"/>
    <w:rsid w:val="00DA4393"/>
    <w:rsid w:val="00DC6946"/>
    <w:rsid w:val="00DD6833"/>
    <w:rsid w:val="00DF1D7F"/>
    <w:rsid w:val="00DF24F7"/>
    <w:rsid w:val="00E130DB"/>
    <w:rsid w:val="00E13E3A"/>
    <w:rsid w:val="00E70F61"/>
    <w:rsid w:val="00F07F9F"/>
    <w:rsid w:val="00F40FF6"/>
    <w:rsid w:val="00F443CA"/>
    <w:rsid w:val="00F57BFD"/>
    <w:rsid w:val="00FC4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69C6B"/>
  <w15:docId w15:val="{32082035-69F9-CD41-AC69-F5D4162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DD"/>
    <w:pPr>
      <w:spacing w:after="0" w:line="240" w:lineRule="auto"/>
    </w:pPr>
    <w:rPr>
      <w:rFonts w:ascii="Arial" w:hAnsi="Arial" w:cs="Times New Roman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A516DD"/>
    <w:pPr>
      <w:numPr>
        <w:numId w:val="19"/>
      </w:numPr>
      <w:ind w:left="993" w:hanging="636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6DD"/>
    <w:pPr>
      <w:numPr>
        <w:ilvl w:val="1"/>
        <w:numId w:val="17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6DD"/>
    <w:pPr>
      <w:keepNext/>
      <w:keepLines/>
      <w:numPr>
        <w:ilvl w:val="2"/>
        <w:numId w:val="17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6DD"/>
    <w:pPr>
      <w:keepNext/>
      <w:keepLines/>
      <w:numPr>
        <w:ilvl w:val="3"/>
        <w:numId w:val="17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6DD"/>
    <w:pPr>
      <w:keepNext/>
      <w:keepLines/>
      <w:numPr>
        <w:ilvl w:val="4"/>
        <w:numId w:val="17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6DD"/>
    <w:pPr>
      <w:keepNext/>
      <w:keepLines/>
      <w:numPr>
        <w:ilvl w:val="5"/>
        <w:numId w:val="17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6DD"/>
    <w:pPr>
      <w:keepNext/>
      <w:keepLines/>
      <w:numPr>
        <w:ilvl w:val="6"/>
        <w:numId w:val="17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6DD"/>
    <w:pPr>
      <w:keepNext/>
      <w:keepLines/>
      <w:numPr>
        <w:ilvl w:val="7"/>
        <w:numId w:val="17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6DD"/>
    <w:pPr>
      <w:keepNext/>
      <w:keepLines/>
      <w:numPr>
        <w:ilvl w:val="8"/>
        <w:numId w:val="17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76D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6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04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E2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3DB"/>
  </w:style>
  <w:style w:type="paragraph" w:styleId="Footer">
    <w:name w:val="footer"/>
    <w:basedOn w:val="Normal"/>
    <w:link w:val="FooterChar"/>
    <w:uiPriority w:val="99"/>
    <w:unhideWhenUsed/>
    <w:rsid w:val="007E2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3DB"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A516DD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16DD"/>
    <w:rPr>
      <w:rFonts w:asciiTheme="majorHAnsi" w:hAnsiTheme="majorHAnsi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6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6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6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6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6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6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6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A5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basedOn w:val="NoList"/>
    <w:uiPriority w:val="99"/>
    <w:rsid w:val="00A516DD"/>
    <w:pPr>
      <w:numPr>
        <w:numId w:val="18"/>
      </w:numPr>
    </w:pPr>
  </w:style>
  <w:style w:type="paragraph" w:customStyle="1" w:styleId="TSB-Level1Numbers">
    <w:name w:val="TSB - Level 1 Numbers"/>
    <w:basedOn w:val="Heading1"/>
    <w:link w:val="TSB-Level1NumbersChar"/>
    <w:qFormat/>
    <w:rsid w:val="00A516DD"/>
    <w:pPr>
      <w:numPr>
        <w:ilvl w:val="1"/>
      </w:numPr>
      <w:ind w:left="1480" w:hanging="482"/>
      <w:contextualSpacing w:val="0"/>
    </w:pPr>
    <w:rPr>
      <w:rFonts w:cstheme="minorHAnsi"/>
      <w:b w:val="0"/>
      <w:sz w:val="2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A516DD"/>
    <w:pPr>
      <w:numPr>
        <w:numId w:val="22"/>
      </w:numPr>
      <w:spacing w:before="200"/>
      <w:ind w:left="1843" w:hanging="425"/>
    </w:pPr>
  </w:style>
  <w:style w:type="paragraph" w:customStyle="1" w:styleId="TSB-Level2Numbers">
    <w:name w:val="TSB - Level 2 Numbers"/>
    <w:basedOn w:val="TSB-Level1Numbers"/>
    <w:autoRedefine/>
    <w:qFormat/>
    <w:rsid w:val="00A516DD"/>
    <w:pPr>
      <w:numPr>
        <w:ilvl w:val="2"/>
      </w:numPr>
      <w:ind w:left="2223" w:hanging="998"/>
    </w:pPr>
  </w:style>
  <w:style w:type="character" w:customStyle="1" w:styleId="TSB-PolicyBulletsChar">
    <w:name w:val="TSB - Policy Bullets Char"/>
    <w:basedOn w:val="DefaultParagraphFont"/>
    <w:link w:val="TSB-PolicyBullets"/>
    <w:rsid w:val="00A516DD"/>
  </w:style>
  <w:style w:type="character" w:customStyle="1" w:styleId="TSB-Level1NumbersChar">
    <w:name w:val="TSB - Level 1 Numbers Char"/>
    <w:basedOn w:val="Heading1Char"/>
    <w:link w:val="TSB-Level1Numbers"/>
    <w:rsid w:val="00A516DD"/>
    <w:rPr>
      <w:rFonts w:asciiTheme="majorHAnsi" w:hAnsiTheme="majorHAnsi" w:cstheme="minorHAns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1FCB-5642-4D4C-A285-5A54C353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Shani Ozenbrook</cp:lastModifiedBy>
  <cp:revision>2</cp:revision>
  <dcterms:created xsi:type="dcterms:W3CDTF">2025-09-29T11:07:00Z</dcterms:created>
  <dcterms:modified xsi:type="dcterms:W3CDTF">2025-09-29T11:07:00Z</dcterms:modified>
</cp:coreProperties>
</file>