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1171E" w:rsidRDefault="005A70CC" w:rsidP="005D54B8">
      <w:pPr>
        <w:pStyle w:val="Title"/>
        <w:jc w:val="left"/>
        <w:rPr>
          <w:rFonts w:ascii="Century Gothic" w:hAnsi="Century Gothic" w:cs="Arial"/>
          <w:szCs w:val="24"/>
        </w:rPr>
      </w:pPr>
      <w:r w:rsidRPr="0041171E">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1171E" w:rsidRDefault="00A14250" w:rsidP="005D54B8">
      <w:pPr>
        <w:pStyle w:val="Title"/>
        <w:rPr>
          <w:rFonts w:ascii="Century Gothic" w:hAnsi="Century Gothic" w:cs="Arial"/>
          <w:szCs w:val="24"/>
          <w:u w:val="single"/>
        </w:rPr>
      </w:pPr>
    </w:p>
    <w:p w14:paraId="7F901F0B" w14:textId="77777777" w:rsidR="00A14250" w:rsidRPr="0041171E" w:rsidRDefault="00A14250" w:rsidP="005D54B8">
      <w:pPr>
        <w:pStyle w:val="Title"/>
        <w:rPr>
          <w:rFonts w:ascii="Century Gothic" w:hAnsi="Century Gothic" w:cs="Arial"/>
          <w:szCs w:val="24"/>
          <w:u w:val="single"/>
        </w:rPr>
      </w:pPr>
    </w:p>
    <w:p w14:paraId="4DE5883F" w14:textId="77777777" w:rsidR="00A14250" w:rsidRPr="0041171E" w:rsidRDefault="00A14250" w:rsidP="0032428F">
      <w:pPr>
        <w:pStyle w:val="Title"/>
        <w:jc w:val="left"/>
        <w:rPr>
          <w:rFonts w:ascii="Century Gothic" w:hAnsi="Century Gothic" w:cs="Arial"/>
          <w:szCs w:val="24"/>
          <w:u w:val="single"/>
        </w:rPr>
      </w:pPr>
    </w:p>
    <w:p w14:paraId="3CCBEB2A" w14:textId="77777777" w:rsidR="0032428F" w:rsidRPr="0041171E" w:rsidRDefault="0032428F" w:rsidP="0032428F">
      <w:pPr>
        <w:pStyle w:val="Title"/>
        <w:rPr>
          <w:rFonts w:ascii="Century Gothic" w:hAnsi="Century Gothic" w:cs="Arial"/>
          <w:szCs w:val="24"/>
          <w:u w:val="single"/>
        </w:rPr>
      </w:pPr>
    </w:p>
    <w:p w14:paraId="04ACBE17" w14:textId="789C3F19" w:rsidR="005D54B8" w:rsidRPr="0041171E" w:rsidRDefault="0041171E" w:rsidP="0041171E">
      <w:pPr>
        <w:ind w:left="3240" w:firstLine="360"/>
        <w:rPr>
          <w:rFonts w:ascii="Century Gothic" w:hAnsi="Century Gothic" w:cs="Arial"/>
          <w:b/>
          <w:bCs/>
          <w:sz w:val="24"/>
          <w:szCs w:val="24"/>
          <w:u w:val="single"/>
        </w:rPr>
      </w:pPr>
      <w:r w:rsidRPr="0041171E">
        <w:rPr>
          <w:rFonts w:ascii="Century Gothic" w:hAnsi="Century Gothic" w:cs="Arial"/>
          <w:b/>
          <w:bCs/>
          <w:sz w:val="24"/>
          <w:szCs w:val="24"/>
        </w:rPr>
        <w:t xml:space="preserve">     </w:t>
      </w:r>
      <w:r w:rsidR="004003F8">
        <w:rPr>
          <w:rFonts w:ascii="Century Gothic" w:hAnsi="Century Gothic" w:cs="Arial"/>
          <w:b/>
          <w:bCs/>
          <w:sz w:val="24"/>
          <w:szCs w:val="24"/>
          <w:u w:val="single"/>
        </w:rPr>
        <w:t xml:space="preserve">Marking Policy </w:t>
      </w:r>
    </w:p>
    <w:p w14:paraId="19576827" w14:textId="77777777" w:rsidR="0041171E" w:rsidRPr="0041171E" w:rsidRDefault="0041171E" w:rsidP="0041171E">
      <w:pPr>
        <w:ind w:left="3240" w:firstLine="360"/>
        <w:rPr>
          <w:rFonts w:ascii="Century Gothic" w:hAnsi="Century Gothic" w:cs="Arial"/>
          <w:b/>
          <w:bCs/>
          <w:sz w:val="24"/>
          <w:szCs w:val="24"/>
          <w:u w:val="single"/>
        </w:rPr>
      </w:pPr>
    </w:p>
    <w:p w14:paraId="204C9FDF"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Introduction</w:t>
      </w:r>
    </w:p>
    <w:p w14:paraId="369DE6A9"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At Kingdom Christian School, we recognise that high-quality marking and feedback are central to effective teaching and learning. The way in which pupils’ work is acknowledged and responded to has a significant impact on their progress, motivation, and attitudes to learning.</w:t>
      </w:r>
    </w:p>
    <w:p w14:paraId="62A6A128"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Marking and feedback at our school are designed to be meaningful, manageable, and motivating. They provide clear guidance to pupils on how to improve, while also informing teachers’ planning and assessment. This policy ensures a consistent approach across the school that supports all pupils in making sustained progress.</w:t>
      </w:r>
    </w:p>
    <w:p w14:paraId="2D816B7A" w14:textId="77777777" w:rsidR="004003F8" w:rsidRPr="004003F8" w:rsidRDefault="004003F8" w:rsidP="004003F8">
      <w:pPr>
        <w:tabs>
          <w:tab w:val="left" w:pos="1900"/>
        </w:tabs>
        <w:rPr>
          <w:rFonts w:ascii="Calibri" w:hAnsi="Calibri" w:cs="Calibri"/>
          <w:sz w:val="24"/>
          <w:szCs w:val="24"/>
          <w:lang w:val="en-GB" w:eastAsia="en-GB"/>
        </w:rPr>
      </w:pPr>
    </w:p>
    <w:p w14:paraId="5904E908"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Aims</w:t>
      </w:r>
    </w:p>
    <w:p w14:paraId="2C6CBD36"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This policy aims to ensure that marking and feedback:</w:t>
      </w:r>
    </w:p>
    <w:p w14:paraId="62A38A45" w14:textId="77777777" w:rsidR="004003F8" w:rsidRPr="004003F8" w:rsidRDefault="004003F8" w:rsidP="004003F8">
      <w:pPr>
        <w:numPr>
          <w:ilvl w:val="0"/>
          <w:numId w:val="2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are consistent and of high quality across the school,</w:t>
      </w:r>
    </w:p>
    <w:p w14:paraId="36FC681C" w14:textId="77777777" w:rsidR="004003F8" w:rsidRPr="004003F8" w:rsidRDefault="004003F8" w:rsidP="004003F8">
      <w:pPr>
        <w:numPr>
          <w:ilvl w:val="0"/>
          <w:numId w:val="2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support pupils in understanding what they have done well and what they need to do next,</w:t>
      </w:r>
    </w:p>
    <w:p w14:paraId="0C32DB5B" w14:textId="77777777" w:rsidR="004003F8" w:rsidRPr="004003F8" w:rsidRDefault="004003F8" w:rsidP="004003F8">
      <w:pPr>
        <w:numPr>
          <w:ilvl w:val="0"/>
          <w:numId w:val="2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address misconceptions and move learning forward,</w:t>
      </w:r>
    </w:p>
    <w:p w14:paraId="1615FC17" w14:textId="77777777" w:rsidR="004003F8" w:rsidRPr="004003F8" w:rsidRDefault="004003F8" w:rsidP="004003F8">
      <w:pPr>
        <w:numPr>
          <w:ilvl w:val="0"/>
          <w:numId w:val="2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promote pupil independence through reflection and response,</w:t>
      </w:r>
    </w:p>
    <w:p w14:paraId="6474C383" w14:textId="77777777" w:rsidR="004003F8" w:rsidRPr="004003F8" w:rsidRDefault="004003F8" w:rsidP="004003F8">
      <w:pPr>
        <w:numPr>
          <w:ilvl w:val="0"/>
          <w:numId w:val="2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inform teaching, assessment, and future planning,</w:t>
      </w:r>
    </w:p>
    <w:p w14:paraId="6E7D6B87" w14:textId="77777777" w:rsidR="004003F8" w:rsidRPr="004003F8" w:rsidRDefault="004003F8" w:rsidP="004003F8">
      <w:pPr>
        <w:numPr>
          <w:ilvl w:val="0"/>
          <w:numId w:val="2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contribute to raising standards and improving outcomes for all pupils.</w:t>
      </w:r>
    </w:p>
    <w:p w14:paraId="5C930C4F" w14:textId="77777777" w:rsidR="004003F8" w:rsidRPr="004003F8" w:rsidRDefault="004003F8" w:rsidP="004003F8">
      <w:pPr>
        <w:tabs>
          <w:tab w:val="left" w:pos="1900"/>
        </w:tabs>
        <w:rPr>
          <w:rFonts w:ascii="Calibri" w:hAnsi="Calibri" w:cs="Calibri"/>
          <w:sz w:val="24"/>
          <w:szCs w:val="24"/>
          <w:lang w:val="en-GB" w:eastAsia="en-GB"/>
        </w:rPr>
      </w:pPr>
    </w:p>
    <w:p w14:paraId="104C0CB1"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Principles of Effective Feedback</w:t>
      </w:r>
    </w:p>
    <w:p w14:paraId="508F9B8C"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At Kingdom Christian School, effective feedback:</w:t>
      </w:r>
    </w:p>
    <w:p w14:paraId="304F1B02"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is timely and relevant to the learning objective,</w:t>
      </w:r>
    </w:p>
    <w:p w14:paraId="65CBEAB3"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focuses on moving learning forward rather than simply correcting work,</w:t>
      </w:r>
    </w:p>
    <w:p w14:paraId="5AF7C019"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is adapted to meet the needs of individual pupils,</w:t>
      </w:r>
    </w:p>
    <w:p w14:paraId="6D916E93"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may be verbal or written, depending on what is most effective,</w:t>
      </w:r>
    </w:p>
    <w:p w14:paraId="7F4BE207"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includes opportunities for pupils to respond and improve their work,</w:t>
      </w:r>
    </w:p>
    <w:p w14:paraId="1D2B24A6"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encourages self-assessment and peer assessment to develop independence,</w:t>
      </w:r>
    </w:p>
    <w:p w14:paraId="1B29C2C2" w14:textId="77777777" w:rsidR="004003F8" w:rsidRPr="004003F8" w:rsidRDefault="004003F8" w:rsidP="004003F8">
      <w:pPr>
        <w:numPr>
          <w:ilvl w:val="0"/>
          <w:numId w:val="2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is clear, concise, and purposeful to ensure it is manageable for staff.</w:t>
      </w:r>
    </w:p>
    <w:p w14:paraId="2C2146C6" w14:textId="77777777" w:rsidR="004003F8" w:rsidRPr="004003F8" w:rsidRDefault="004003F8" w:rsidP="004003F8">
      <w:pPr>
        <w:tabs>
          <w:tab w:val="left" w:pos="1900"/>
        </w:tabs>
        <w:rPr>
          <w:rFonts w:ascii="Calibri" w:hAnsi="Calibri" w:cs="Calibri"/>
          <w:sz w:val="24"/>
          <w:szCs w:val="24"/>
          <w:lang w:val="en-GB" w:eastAsia="en-GB"/>
        </w:rPr>
      </w:pPr>
    </w:p>
    <w:p w14:paraId="13A4D98C"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Marking Expectations and Procedures</w:t>
      </w:r>
    </w:p>
    <w:p w14:paraId="363A8B81"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General Expectations</w:t>
      </w:r>
    </w:p>
    <w:p w14:paraId="7F069DD0" w14:textId="77777777" w:rsidR="004003F8" w:rsidRPr="004003F8" w:rsidRDefault="004003F8" w:rsidP="004003F8">
      <w:pPr>
        <w:numPr>
          <w:ilvl w:val="0"/>
          <w:numId w:val="24"/>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All work will be acknowledged in line with this policy.</w:t>
      </w:r>
    </w:p>
    <w:p w14:paraId="3BE13F7B" w14:textId="77777777" w:rsidR="004003F8" w:rsidRPr="004003F8" w:rsidRDefault="004003F8" w:rsidP="004003F8">
      <w:pPr>
        <w:numPr>
          <w:ilvl w:val="0"/>
          <w:numId w:val="24"/>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Marking will relate directly to the learning objective and success criteria.</w:t>
      </w:r>
    </w:p>
    <w:p w14:paraId="4B4D2288" w14:textId="77777777" w:rsidR="004003F8" w:rsidRPr="004003F8" w:rsidRDefault="004003F8" w:rsidP="004003F8">
      <w:pPr>
        <w:numPr>
          <w:ilvl w:val="0"/>
          <w:numId w:val="24"/>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Teachers will use their professional judgement to determine the most appropriate form of feedback.</w:t>
      </w:r>
    </w:p>
    <w:p w14:paraId="693294DE" w14:textId="77777777" w:rsidR="004003F8" w:rsidRPr="004003F8" w:rsidRDefault="004003F8" w:rsidP="004003F8">
      <w:pPr>
        <w:numPr>
          <w:ilvl w:val="0"/>
          <w:numId w:val="24"/>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Live marking is encouraged as it has the greatest impact on pupil progress.</w:t>
      </w:r>
    </w:p>
    <w:p w14:paraId="54860434" w14:textId="77777777" w:rsidR="004003F8" w:rsidRPr="004003F8" w:rsidRDefault="004003F8" w:rsidP="004003F8">
      <w:pPr>
        <w:numPr>
          <w:ilvl w:val="0"/>
          <w:numId w:val="24"/>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Where live marking is not possible, work will be marked promptly.</w:t>
      </w:r>
    </w:p>
    <w:p w14:paraId="345C2CE3" w14:textId="77777777" w:rsidR="004003F8" w:rsidRPr="004003F8" w:rsidRDefault="004003F8" w:rsidP="004003F8">
      <w:pPr>
        <w:numPr>
          <w:ilvl w:val="0"/>
          <w:numId w:val="24"/>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lastRenderedPageBreak/>
        <w:t>Evidence of teacher support, intervention, and challenge should be visible in pupils’ books over time.</w:t>
      </w:r>
    </w:p>
    <w:p w14:paraId="4F32CCD1" w14:textId="77777777" w:rsidR="004003F8" w:rsidRPr="004003F8" w:rsidRDefault="004003F8" w:rsidP="004003F8">
      <w:pPr>
        <w:tabs>
          <w:tab w:val="left" w:pos="1900"/>
        </w:tabs>
        <w:rPr>
          <w:rFonts w:ascii="Calibri" w:hAnsi="Calibri" w:cs="Calibri"/>
          <w:sz w:val="24"/>
          <w:szCs w:val="24"/>
          <w:lang w:val="en-GB" w:eastAsia="en-GB"/>
        </w:rPr>
      </w:pPr>
    </w:p>
    <w:p w14:paraId="6AE84B49" w14:textId="77777777" w:rsidR="004003F8" w:rsidRPr="004003F8" w:rsidRDefault="004003F8" w:rsidP="004003F8">
      <w:pPr>
        <w:tabs>
          <w:tab w:val="left" w:pos="1900"/>
        </w:tabs>
        <w:rPr>
          <w:rFonts w:ascii="Calibri" w:hAnsi="Calibri" w:cs="Calibri"/>
          <w:b/>
          <w:bCs/>
          <w:sz w:val="24"/>
          <w:szCs w:val="24"/>
          <w:lang w:val="en-GB" w:eastAsia="en-GB"/>
        </w:rPr>
      </w:pPr>
    </w:p>
    <w:p w14:paraId="6C9D15CB"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Marking Format</w:t>
      </w:r>
    </w:p>
    <w:p w14:paraId="615A0AB3" w14:textId="77777777" w:rsidR="004003F8" w:rsidRPr="004003F8" w:rsidRDefault="004003F8" w:rsidP="004003F8">
      <w:pPr>
        <w:numPr>
          <w:ilvl w:val="0"/>
          <w:numId w:val="25"/>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Teachers will mark using green ink.</w:t>
      </w:r>
    </w:p>
    <w:p w14:paraId="56595BE7" w14:textId="77777777" w:rsidR="004003F8" w:rsidRPr="004003F8" w:rsidRDefault="004003F8" w:rsidP="004003F8">
      <w:pPr>
        <w:numPr>
          <w:ilvl w:val="0"/>
          <w:numId w:val="25"/>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 consistent set of marking symbols will be used across the school.</w:t>
      </w:r>
    </w:p>
    <w:p w14:paraId="3D2795D1" w14:textId="77777777" w:rsidR="004003F8" w:rsidRPr="004003F8" w:rsidRDefault="004003F8" w:rsidP="004003F8">
      <w:pPr>
        <w:numPr>
          <w:ilvl w:val="0"/>
          <w:numId w:val="25"/>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Feedback will include:</w:t>
      </w:r>
    </w:p>
    <w:p w14:paraId="32AB5828" w14:textId="77777777" w:rsidR="004003F8" w:rsidRPr="004003F8" w:rsidRDefault="004003F8" w:rsidP="004003F8">
      <w:pPr>
        <w:numPr>
          <w:ilvl w:val="1"/>
          <w:numId w:val="25"/>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acknowledgement of what has been achieved,</w:t>
      </w:r>
    </w:p>
    <w:p w14:paraId="7261B937" w14:textId="77777777" w:rsidR="004003F8" w:rsidRPr="004003F8" w:rsidRDefault="004003F8" w:rsidP="004003F8">
      <w:pPr>
        <w:numPr>
          <w:ilvl w:val="1"/>
          <w:numId w:val="25"/>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identification of errors or misconceptions (where appropriate),</w:t>
      </w:r>
    </w:p>
    <w:p w14:paraId="4ABA3984" w14:textId="7085CE29" w:rsidR="00D25077" w:rsidRDefault="004003F8" w:rsidP="00D25077">
      <w:pPr>
        <w:numPr>
          <w:ilvl w:val="1"/>
          <w:numId w:val="25"/>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clear next steps to move learning forward.</w:t>
      </w:r>
    </w:p>
    <w:p w14:paraId="354A2076" w14:textId="77777777" w:rsidR="00D25077" w:rsidRDefault="00D25077" w:rsidP="00D25077">
      <w:pPr>
        <w:tabs>
          <w:tab w:val="left" w:pos="1900"/>
        </w:tabs>
        <w:rPr>
          <w:rFonts w:ascii="Calibri" w:hAnsi="Calibri" w:cs="Calibri"/>
          <w:b/>
          <w:bCs/>
          <w:sz w:val="24"/>
          <w:szCs w:val="24"/>
          <w:lang w:val="en-GB" w:eastAsia="en-GB"/>
        </w:rPr>
      </w:pPr>
    </w:p>
    <w:p w14:paraId="1B34F097" w14:textId="7B638DF6" w:rsidR="00D25077" w:rsidRPr="00D25077" w:rsidRDefault="00D25077" w:rsidP="00D25077">
      <w:pPr>
        <w:tabs>
          <w:tab w:val="left" w:pos="1900"/>
        </w:tabs>
        <w:rPr>
          <w:rFonts w:ascii="Calibri" w:hAnsi="Calibri" w:cs="Calibri"/>
          <w:b/>
          <w:bCs/>
          <w:sz w:val="24"/>
          <w:szCs w:val="24"/>
          <w:lang w:val="en-GB" w:eastAsia="en-GB"/>
        </w:rPr>
      </w:pPr>
      <w:r w:rsidRPr="00D25077">
        <w:rPr>
          <w:rFonts w:ascii="Calibri" w:hAnsi="Calibri" w:cs="Calibri"/>
          <w:b/>
          <w:bCs/>
          <w:sz w:val="24"/>
          <w:szCs w:val="24"/>
          <w:lang w:val="en-GB" w:eastAsia="en-GB"/>
        </w:rPr>
        <w:t>English</w:t>
      </w:r>
    </w:p>
    <w:p w14:paraId="125A7A54" w14:textId="2A3F8EC3" w:rsidR="004003F8" w:rsidRDefault="00D25077" w:rsidP="00D25077">
      <w:pPr>
        <w:pStyle w:val="ListParagraph"/>
        <w:numPr>
          <w:ilvl w:val="0"/>
          <w:numId w:val="34"/>
        </w:numPr>
        <w:tabs>
          <w:tab w:val="left" w:pos="1900"/>
        </w:tabs>
        <w:rPr>
          <w:rFonts w:cs="Calibri"/>
          <w:sz w:val="24"/>
          <w:szCs w:val="24"/>
          <w:lang w:eastAsia="en-GB"/>
        </w:rPr>
      </w:pPr>
      <w:r>
        <w:rPr>
          <w:rFonts w:cs="Calibri"/>
          <w:sz w:val="24"/>
          <w:szCs w:val="24"/>
          <w:lang w:eastAsia="en-GB"/>
        </w:rPr>
        <w:t>Teacher conducts in-depth marking each half term</w:t>
      </w:r>
      <w:r w:rsidR="00CF5528">
        <w:rPr>
          <w:rFonts w:cs="Calibri"/>
          <w:sz w:val="24"/>
          <w:szCs w:val="24"/>
          <w:lang w:eastAsia="en-GB"/>
        </w:rPr>
        <w:t xml:space="preserve"> using our marking template which is stuck in the children’s English books. </w:t>
      </w:r>
      <w:r>
        <w:rPr>
          <w:rFonts w:cs="Calibri"/>
          <w:sz w:val="24"/>
          <w:szCs w:val="24"/>
          <w:lang w:eastAsia="en-GB"/>
        </w:rPr>
        <w:t xml:space="preserve"> </w:t>
      </w:r>
    </w:p>
    <w:p w14:paraId="4EC39EAD" w14:textId="6D7F03C3" w:rsidR="00D25077" w:rsidRDefault="00D25077" w:rsidP="00D25077">
      <w:pPr>
        <w:pStyle w:val="ListParagraph"/>
        <w:numPr>
          <w:ilvl w:val="0"/>
          <w:numId w:val="34"/>
        </w:numPr>
        <w:tabs>
          <w:tab w:val="left" w:pos="1900"/>
        </w:tabs>
        <w:rPr>
          <w:rFonts w:cs="Calibri"/>
          <w:sz w:val="24"/>
          <w:szCs w:val="24"/>
          <w:lang w:eastAsia="en-GB"/>
        </w:rPr>
      </w:pPr>
      <w:r>
        <w:rPr>
          <w:rFonts w:cs="Calibri"/>
          <w:sz w:val="24"/>
          <w:szCs w:val="24"/>
          <w:lang w:eastAsia="en-GB"/>
        </w:rPr>
        <w:t xml:space="preserve">Work is reviewed for progress and increased attainment. </w:t>
      </w:r>
    </w:p>
    <w:p w14:paraId="353F309C" w14:textId="1D9078E6" w:rsidR="00D25077" w:rsidRDefault="00D25077" w:rsidP="00D25077">
      <w:pPr>
        <w:pStyle w:val="ListParagraph"/>
        <w:numPr>
          <w:ilvl w:val="0"/>
          <w:numId w:val="34"/>
        </w:numPr>
        <w:tabs>
          <w:tab w:val="left" w:pos="1900"/>
        </w:tabs>
        <w:rPr>
          <w:rFonts w:cs="Calibri"/>
          <w:sz w:val="24"/>
          <w:szCs w:val="24"/>
          <w:lang w:eastAsia="en-GB"/>
        </w:rPr>
      </w:pPr>
      <w:r>
        <w:rPr>
          <w:rFonts w:cs="Calibri"/>
          <w:sz w:val="24"/>
          <w:szCs w:val="24"/>
          <w:lang w:eastAsia="en-GB"/>
        </w:rPr>
        <w:t xml:space="preserve">Work is reviewed for any consistent errors. </w:t>
      </w:r>
    </w:p>
    <w:p w14:paraId="667E5D16" w14:textId="389E7508" w:rsidR="00D25077" w:rsidRDefault="00D25077" w:rsidP="00D25077">
      <w:pPr>
        <w:pStyle w:val="ListParagraph"/>
        <w:numPr>
          <w:ilvl w:val="0"/>
          <w:numId w:val="34"/>
        </w:numPr>
        <w:tabs>
          <w:tab w:val="left" w:pos="1900"/>
        </w:tabs>
        <w:rPr>
          <w:rFonts w:cs="Calibri"/>
          <w:sz w:val="24"/>
          <w:szCs w:val="24"/>
          <w:lang w:eastAsia="en-GB"/>
        </w:rPr>
      </w:pPr>
      <w:r>
        <w:rPr>
          <w:rFonts w:cs="Calibri"/>
          <w:sz w:val="24"/>
          <w:szCs w:val="24"/>
          <w:lang w:eastAsia="en-GB"/>
        </w:rPr>
        <w:t xml:space="preserve">Targets are set for the child to work towards, and this is reviewed at the next in depth marking. </w:t>
      </w:r>
    </w:p>
    <w:p w14:paraId="4162122F" w14:textId="77777777" w:rsidR="00CF5528" w:rsidRDefault="00CF5528" w:rsidP="00CF5528">
      <w:pPr>
        <w:pStyle w:val="ListParagraph"/>
        <w:tabs>
          <w:tab w:val="left" w:pos="1900"/>
        </w:tabs>
        <w:rPr>
          <w:rFonts w:cs="Calibri"/>
          <w:sz w:val="24"/>
          <w:szCs w:val="24"/>
          <w:lang w:eastAsia="en-GB"/>
        </w:rPr>
      </w:pPr>
    </w:p>
    <w:p w14:paraId="69C33205" w14:textId="3281FEC7" w:rsidR="00CF5528" w:rsidRPr="00D25077" w:rsidRDefault="00CF5528" w:rsidP="00CF5528">
      <w:pPr>
        <w:pStyle w:val="ListParagraph"/>
        <w:tabs>
          <w:tab w:val="left" w:pos="1900"/>
        </w:tabs>
        <w:rPr>
          <w:rFonts w:cs="Calibri"/>
          <w:sz w:val="24"/>
          <w:szCs w:val="24"/>
          <w:lang w:eastAsia="en-GB"/>
        </w:rPr>
      </w:pPr>
      <w:r w:rsidRPr="00CF5528">
        <w:rPr>
          <w:rFonts w:cs="Calibri"/>
          <w:noProof/>
          <w:sz w:val="24"/>
          <w:szCs w:val="24"/>
          <w:lang w:eastAsia="en-GB"/>
        </w:rPr>
        <w:drawing>
          <wp:inline distT="0" distB="0" distL="0" distR="0" wp14:anchorId="4017F9ED" wp14:editId="1113CFAA">
            <wp:extent cx="4472940" cy="2374808"/>
            <wp:effectExtent l="0" t="0" r="3810" b="6985"/>
            <wp:docPr id="51047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6108" name=""/>
                    <pic:cNvPicPr/>
                  </pic:nvPicPr>
                  <pic:blipFill>
                    <a:blip r:embed="rId9"/>
                    <a:stretch>
                      <a:fillRect/>
                    </a:stretch>
                  </pic:blipFill>
                  <pic:spPr>
                    <a:xfrm>
                      <a:off x="0" y="0"/>
                      <a:ext cx="4482821" cy="2380054"/>
                    </a:xfrm>
                    <a:prstGeom prst="rect">
                      <a:avLst/>
                    </a:prstGeom>
                  </pic:spPr>
                </pic:pic>
              </a:graphicData>
            </a:graphic>
          </wp:inline>
        </w:drawing>
      </w:r>
    </w:p>
    <w:p w14:paraId="341396AC"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Mathematics</w:t>
      </w:r>
    </w:p>
    <w:p w14:paraId="6E881A20" w14:textId="77777777" w:rsidR="004003F8" w:rsidRPr="004003F8" w:rsidRDefault="004003F8" w:rsidP="004003F8">
      <w:pPr>
        <w:numPr>
          <w:ilvl w:val="0"/>
          <w:numId w:val="26"/>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 tick (</w:t>
      </w:r>
      <w:r w:rsidRPr="004003F8">
        <w:rPr>
          <w:rFonts w:ascii="Segoe UI Symbol" w:hAnsi="Segoe UI Symbol" w:cs="Segoe UI Symbol"/>
          <w:sz w:val="24"/>
          <w:szCs w:val="24"/>
          <w:lang w:val="en-GB" w:eastAsia="en-GB"/>
        </w:rPr>
        <w:t>✓</w:t>
      </w:r>
      <w:r w:rsidRPr="004003F8">
        <w:rPr>
          <w:rFonts w:ascii="Calibri" w:hAnsi="Calibri" w:cs="Calibri"/>
          <w:sz w:val="24"/>
          <w:szCs w:val="24"/>
          <w:lang w:val="en-GB" w:eastAsia="en-GB"/>
        </w:rPr>
        <w:t>) indicates a correct answer.</w:t>
      </w:r>
    </w:p>
    <w:p w14:paraId="765F2F10" w14:textId="77777777" w:rsidR="004003F8" w:rsidRPr="004003F8" w:rsidRDefault="004003F8" w:rsidP="004003F8">
      <w:pPr>
        <w:numPr>
          <w:ilvl w:val="0"/>
          <w:numId w:val="26"/>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 dot or cross indicates an incorrect answer.</w:t>
      </w:r>
    </w:p>
    <w:p w14:paraId="3C9D7951" w14:textId="77777777" w:rsidR="004003F8" w:rsidRPr="004003F8" w:rsidRDefault="004003F8" w:rsidP="004003F8">
      <w:pPr>
        <w:numPr>
          <w:ilvl w:val="0"/>
          <w:numId w:val="26"/>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Pupils are expected to review and correct errors promptly to consolidate learning.</w:t>
      </w:r>
    </w:p>
    <w:p w14:paraId="0043DFB0" w14:textId="77777777" w:rsidR="004003F8" w:rsidRPr="004003F8" w:rsidRDefault="004003F8" w:rsidP="004003F8">
      <w:pPr>
        <w:tabs>
          <w:tab w:val="left" w:pos="1900"/>
        </w:tabs>
        <w:rPr>
          <w:rFonts w:ascii="Calibri" w:hAnsi="Calibri" w:cs="Calibri"/>
          <w:sz w:val="24"/>
          <w:szCs w:val="24"/>
          <w:lang w:val="en-GB" w:eastAsia="en-GB"/>
        </w:rPr>
      </w:pPr>
    </w:p>
    <w:p w14:paraId="46E90C73"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Pupil Response and Reflection</w:t>
      </w:r>
    </w:p>
    <w:p w14:paraId="758F6361" w14:textId="77777777" w:rsidR="004003F8" w:rsidRPr="004003F8" w:rsidRDefault="004003F8" w:rsidP="004003F8">
      <w:pPr>
        <w:numPr>
          <w:ilvl w:val="0"/>
          <w:numId w:val="27"/>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Pupils will use purple pen to:</w:t>
      </w:r>
    </w:p>
    <w:p w14:paraId="18E47308" w14:textId="77777777" w:rsidR="004003F8" w:rsidRPr="004003F8" w:rsidRDefault="004003F8" w:rsidP="004003F8">
      <w:pPr>
        <w:numPr>
          <w:ilvl w:val="1"/>
          <w:numId w:val="27"/>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respond to teacher feedback,</w:t>
      </w:r>
    </w:p>
    <w:p w14:paraId="0F1DB7E0" w14:textId="77777777" w:rsidR="004003F8" w:rsidRPr="004003F8" w:rsidRDefault="004003F8" w:rsidP="004003F8">
      <w:pPr>
        <w:numPr>
          <w:ilvl w:val="1"/>
          <w:numId w:val="27"/>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complete corrections,</w:t>
      </w:r>
    </w:p>
    <w:p w14:paraId="0223C82C" w14:textId="77777777" w:rsidR="004003F8" w:rsidRPr="004003F8" w:rsidRDefault="004003F8" w:rsidP="004003F8">
      <w:pPr>
        <w:numPr>
          <w:ilvl w:val="1"/>
          <w:numId w:val="27"/>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engage in self and peer assessment.</w:t>
      </w:r>
    </w:p>
    <w:p w14:paraId="31C2F183" w14:textId="77777777" w:rsidR="004003F8" w:rsidRPr="004003F8" w:rsidRDefault="004003F8" w:rsidP="004003F8">
      <w:pPr>
        <w:numPr>
          <w:ilvl w:val="0"/>
          <w:numId w:val="27"/>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Dedicated time will be planned for pupils to read, reflect, and respond to feedback.</w:t>
      </w:r>
    </w:p>
    <w:p w14:paraId="1EB80AE8" w14:textId="77777777" w:rsidR="004003F8" w:rsidRPr="004003F8" w:rsidRDefault="004003F8" w:rsidP="004003F8">
      <w:pPr>
        <w:numPr>
          <w:ilvl w:val="0"/>
          <w:numId w:val="27"/>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lastRenderedPageBreak/>
        <w:t>Pupils will self-assess their understanding of the learning objective at the end of lessons where appropriate.</w:t>
      </w:r>
    </w:p>
    <w:p w14:paraId="1587285F" w14:textId="77777777" w:rsidR="004003F8" w:rsidRPr="004003F8" w:rsidRDefault="004003F8" w:rsidP="004003F8">
      <w:pPr>
        <w:tabs>
          <w:tab w:val="left" w:pos="1900"/>
        </w:tabs>
        <w:rPr>
          <w:rFonts w:ascii="Calibri" w:hAnsi="Calibri" w:cs="Calibri"/>
          <w:sz w:val="24"/>
          <w:szCs w:val="24"/>
          <w:lang w:val="en-GB" w:eastAsia="en-GB"/>
        </w:rPr>
      </w:pPr>
    </w:p>
    <w:p w14:paraId="7D247FED"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Assessment and Impact</w:t>
      </w:r>
    </w:p>
    <w:p w14:paraId="7C4CA8DF" w14:textId="77777777" w:rsidR="004003F8" w:rsidRPr="004003F8" w:rsidRDefault="004003F8" w:rsidP="004003F8">
      <w:pPr>
        <w:numPr>
          <w:ilvl w:val="0"/>
          <w:numId w:val="28"/>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Marking and feedback will be used formatively to inform day-to-day teaching and planning.</w:t>
      </w:r>
    </w:p>
    <w:p w14:paraId="23F763EE" w14:textId="77777777" w:rsidR="004003F8" w:rsidRPr="004003F8" w:rsidRDefault="004003F8" w:rsidP="004003F8">
      <w:pPr>
        <w:numPr>
          <w:ilvl w:val="0"/>
          <w:numId w:val="28"/>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Evidence from pupils’ work will contribute to summative assessments and reporting.</w:t>
      </w:r>
    </w:p>
    <w:p w14:paraId="64C1711C" w14:textId="77777777" w:rsidR="004003F8" w:rsidRPr="004003F8" w:rsidRDefault="004003F8" w:rsidP="004003F8">
      <w:pPr>
        <w:numPr>
          <w:ilvl w:val="0"/>
          <w:numId w:val="28"/>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The impact of feedback will be seen in pupils’ ability to correct errors, improve work, and apply learning independently.</w:t>
      </w:r>
    </w:p>
    <w:p w14:paraId="6C1D1C3B" w14:textId="77777777" w:rsidR="004003F8" w:rsidRPr="004003F8" w:rsidRDefault="004003F8" w:rsidP="004003F8">
      <w:pPr>
        <w:tabs>
          <w:tab w:val="left" w:pos="1900"/>
        </w:tabs>
        <w:rPr>
          <w:rFonts w:ascii="Calibri" w:hAnsi="Calibri" w:cs="Calibri"/>
          <w:sz w:val="24"/>
          <w:szCs w:val="24"/>
          <w:lang w:val="en-GB" w:eastAsia="en-GB"/>
        </w:rPr>
      </w:pPr>
    </w:p>
    <w:p w14:paraId="33D0F434"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Monitoring and Evaluation</w:t>
      </w:r>
    </w:p>
    <w:p w14:paraId="7235309A"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The implementation and impact of this policy will be monitored through:</w:t>
      </w:r>
    </w:p>
    <w:p w14:paraId="7D96693F" w14:textId="77777777" w:rsidR="004003F8" w:rsidRPr="004003F8" w:rsidRDefault="004003F8" w:rsidP="004003F8">
      <w:pPr>
        <w:numPr>
          <w:ilvl w:val="0"/>
          <w:numId w:val="29"/>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 xml:space="preserve">regular book </w:t>
      </w:r>
      <w:proofErr w:type="spellStart"/>
      <w:r w:rsidRPr="004003F8">
        <w:rPr>
          <w:rFonts w:ascii="Calibri" w:hAnsi="Calibri" w:cs="Calibri"/>
          <w:sz w:val="24"/>
          <w:szCs w:val="24"/>
          <w:lang w:val="en-GB" w:eastAsia="en-GB"/>
        </w:rPr>
        <w:t>scrutinies</w:t>
      </w:r>
      <w:proofErr w:type="spellEnd"/>
      <w:r w:rsidRPr="004003F8">
        <w:rPr>
          <w:rFonts w:ascii="Calibri" w:hAnsi="Calibri" w:cs="Calibri"/>
          <w:sz w:val="24"/>
          <w:szCs w:val="24"/>
          <w:lang w:val="en-GB" w:eastAsia="en-GB"/>
        </w:rPr>
        <w:t>,</w:t>
      </w:r>
    </w:p>
    <w:p w14:paraId="0E5085E8" w14:textId="77777777" w:rsidR="004003F8" w:rsidRPr="004003F8" w:rsidRDefault="004003F8" w:rsidP="004003F8">
      <w:pPr>
        <w:numPr>
          <w:ilvl w:val="0"/>
          <w:numId w:val="29"/>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lesson observations and learning walks,</w:t>
      </w:r>
    </w:p>
    <w:p w14:paraId="422DDE09" w14:textId="77777777" w:rsidR="004003F8" w:rsidRPr="004003F8" w:rsidRDefault="004003F8" w:rsidP="004003F8">
      <w:pPr>
        <w:numPr>
          <w:ilvl w:val="0"/>
          <w:numId w:val="29"/>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pupil voice and discussions about feedback,</w:t>
      </w:r>
    </w:p>
    <w:p w14:paraId="74ABE76B" w14:textId="77777777" w:rsidR="004003F8" w:rsidRPr="004003F8" w:rsidRDefault="004003F8" w:rsidP="004003F8">
      <w:pPr>
        <w:numPr>
          <w:ilvl w:val="0"/>
          <w:numId w:val="29"/>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planning scrutiny,</w:t>
      </w:r>
    </w:p>
    <w:p w14:paraId="01D9E026" w14:textId="77777777" w:rsidR="004003F8" w:rsidRPr="004003F8" w:rsidRDefault="004003F8" w:rsidP="004003F8">
      <w:pPr>
        <w:numPr>
          <w:ilvl w:val="0"/>
          <w:numId w:val="29"/>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assessment outcomes and progress data.</w:t>
      </w:r>
    </w:p>
    <w:p w14:paraId="1E78B10D"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Senior leaders will ensure that marking is:</w:t>
      </w:r>
    </w:p>
    <w:p w14:paraId="172D0FC0" w14:textId="77777777" w:rsidR="004003F8" w:rsidRPr="004003F8" w:rsidRDefault="004003F8" w:rsidP="004003F8">
      <w:pPr>
        <w:numPr>
          <w:ilvl w:val="0"/>
          <w:numId w:val="30"/>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consistent across classes and subjects,</w:t>
      </w:r>
    </w:p>
    <w:p w14:paraId="36C202EE" w14:textId="77777777" w:rsidR="004003F8" w:rsidRPr="004003F8" w:rsidRDefault="004003F8" w:rsidP="004003F8">
      <w:pPr>
        <w:numPr>
          <w:ilvl w:val="0"/>
          <w:numId w:val="30"/>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having a positive impact on pupil progress,</w:t>
      </w:r>
    </w:p>
    <w:p w14:paraId="4BF7378E" w14:textId="77777777" w:rsidR="004003F8" w:rsidRPr="004003F8" w:rsidRDefault="004003F8" w:rsidP="004003F8">
      <w:pPr>
        <w:numPr>
          <w:ilvl w:val="0"/>
          <w:numId w:val="30"/>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manageable and sustainable for staff.</w:t>
      </w:r>
    </w:p>
    <w:p w14:paraId="661B2D48"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Feedback from monitoring will be used to provide support, training, and further development where needed.</w:t>
      </w:r>
    </w:p>
    <w:p w14:paraId="3BA5162C" w14:textId="77777777" w:rsidR="004003F8" w:rsidRPr="004003F8" w:rsidRDefault="004003F8" w:rsidP="004003F8">
      <w:pPr>
        <w:tabs>
          <w:tab w:val="left" w:pos="1900"/>
        </w:tabs>
        <w:rPr>
          <w:rFonts w:ascii="Calibri" w:hAnsi="Calibri" w:cs="Calibri"/>
          <w:sz w:val="24"/>
          <w:szCs w:val="24"/>
          <w:lang w:val="en-GB" w:eastAsia="en-GB"/>
        </w:rPr>
      </w:pPr>
    </w:p>
    <w:p w14:paraId="475068DB"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Roles and Responsibilities</w:t>
      </w:r>
    </w:p>
    <w:p w14:paraId="72D36F59"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Teachers:</w:t>
      </w:r>
    </w:p>
    <w:p w14:paraId="3463A8B6" w14:textId="77777777" w:rsidR="004003F8" w:rsidRPr="004003F8" w:rsidRDefault="004003F8" w:rsidP="004003F8">
      <w:pPr>
        <w:numPr>
          <w:ilvl w:val="0"/>
          <w:numId w:val="31"/>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implement the policy consistently,</w:t>
      </w:r>
    </w:p>
    <w:p w14:paraId="6E4C1FDD" w14:textId="77777777" w:rsidR="004003F8" w:rsidRPr="004003F8" w:rsidRDefault="004003F8" w:rsidP="004003F8">
      <w:pPr>
        <w:numPr>
          <w:ilvl w:val="0"/>
          <w:numId w:val="31"/>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provide effective, timely feedback,</w:t>
      </w:r>
    </w:p>
    <w:p w14:paraId="796F41A4" w14:textId="77777777" w:rsidR="004003F8" w:rsidRPr="004003F8" w:rsidRDefault="004003F8" w:rsidP="004003F8">
      <w:pPr>
        <w:numPr>
          <w:ilvl w:val="0"/>
          <w:numId w:val="31"/>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plan opportunities for pupil response,</w:t>
      </w:r>
    </w:p>
    <w:p w14:paraId="3C362132" w14:textId="77777777" w:rsidR="004003F8" w:rsidRPr="004003F8" w:rsidRDefault="004003F8" w:rsidP="004003F8">
      <w:pPr>
        <w:numPr>
          <w:ilvl w:val="0"/>
          <w:numId w:val="31"/>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use assessment information to inform teaching.</w:t>
      </w:r>
    </w:p>
    <w:p w14:paraId="03A4554F"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Senior Leaders:</w:t>
      </w:r>
    </w:p>
    <w:p w14:paraId="52695884" w14:textId="77777777" w:rsidR="004003F8" w:rsidRPr="004003F8" w:rsidRDefault="004003F8" w:rsidP="004003F8">
      <w:pPr>
        <w:numPr>
          <w:ilvl w:val="0"/>
          <w:numId w:val="3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monitor consistency and impact,</w:t>
      </w:r>
    </w:p>
    <w:p w14:paraId="2E75AF39" w14:textId="77777777" w:rsidR="004003F8" w:rsidRPr="004003F8" w:rsidRDefault="004003F8" w:rsidP="004003F8">
      <w:pPr>
        <w:numPr>
          <w:ilvl w:val="0"/>
          <w:numId w:val="3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provide guidance and professional development,</w:t>
      </w:r>
    </w:p>
    <w:p w14:paraId="73CFED6E" w14:textId="77777777" w:rsidR="004003F8" w:rsidRPr="004003F8" w:rsidRDefault="004003F8" w:rsidP="004003F8">
      <w:pPr>
        <w:numPr>
          <w:ilvl w:val="0"/>
          <w:numId w:val="32"/>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ensure workload is manageable.</w:t>
      </w:r>
    </w:p>
    <w:p w14:paraId="0AD478FE"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b/>
          <w:bCs/>
          <w:sz w:val="24"/>
          <w:szCs w:val="24"/>
          <w:lang w:val="en-GB" w:eastAsia="en-GB"/>
        </w:rPr>
        <w:t>Pupils:</w:t>
      </w:r>
    </w:p>
    <w:p w14:paraId="14326EA2" w14:textId="77777777" w:rsidR="004003F8" w:rsidRPr="004003F8" w:rsidRDefault="004003F8" w:rsidP="004003F8">
      <w:pPr>
        <w:numPr>
          <w:ilvl w:val="0"/>
          <w:numId w:val="3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engage with feedback and act upon it,</w:t>
      </w:r>
    </w:p>
    <w:p w14:paraId="6DCB05D4" w14:textId="77777777" w:rsidR="004003F8" w:rsidRPr="004003F8" w:rsidRDefault="004003F8" w:rsidP="004003F8">
      <w:pPr>
        <w:numPr>
          <w:ilvl w:val="0"/>
          <w:numId w:val="3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take increasing responsibility for improving their work,</w:t>
      </w:r>
    </w:p>
    <w:p w14:paraId="20AB9313" w14:textId="77777777" w:rsidR="004003F8" w:rsidRPr="004003F8" w:rsidRDefault="004003F8" w:rsidP="004003F8">
      <w:pPr>
        <w:numPr>
          <w:ilvl w:val="0"/>
          <w:numId w:val="33"/>
        </w:num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participate in self and peer assessment.</w:t>
      </w:r>
    </w:p>
    <w:p w14:paraId="7135F985" w14:textId="77777777" w:rsidR="004003F8" w:rsidRPr="004003F8" w:rsidRDefault="004003F8" w:rsidP="004003F8">
      <w:pPr>
        <w:tabs>
          <w:tab w:val="left" w:pos="1900"/>
        </w:tabs>
        <w:rPr>
          <w:rFonts w:ascii="Calibri" w:hAnsi="Calibri" w:cs="Calibri"/>
          <w:sz w:val="24"/>
          <w:szCs w:val="24"/>
          <w:lang w:val="en-GB" w:eastAsia="en-GB"/>
        </w:rPr>
      </w:pPr>
    </w:p>
    <w:p w14:paraId="3EB2574E" w14:textId="77777777" w:rsidR="004003F8" w:rsidRPr="004003F8" w:rsidRDefault="004003F8" w:rsidP="004003F8">
      <w:pPr>
        <w:tabs>
          <w:tab w:val="left" w:pos="1900"/>
        </w:tabs>
        <w:rPr>
          <w:rFonts w:ascii="Calibri" w:hAnsi="Calibri" w:cs="Calibri"/>
          <w:b/>
          <w:bCs/>
          <w:sz w:val="24"/>
          <w:szCs w:val="24"/>
          <w:lang w:val="en-GB" w:eastAsia="en-GB"/>
        </w:rPr>
      </w:pPr>
      <w:r w:rsidRPr="004003F8">
        <w:rPr>
          <w:rFonts w:ascii="Calibri" w:hAnsi="Calibri" w:cs="Calibri"/>
          <w:b/>
          <w:bCs/>
          <w:sz w:val="24"/>
          <w:szCs w:val="24"/>
          <w:lang w:val="en-GB" w:eastAsia="en-GB"/>
        </w:rPr>
        <w:t>Review</w:t>
      </w:r>
    </w:p>
    <w:p w14:paraId="5ACC2C11" w14:textId="77777777" w:rsidR="004003F8" w:rsidRPr="004003F8" w:rsidRDefault="004003F8" w:rsidP="004003F8">
      <w:pPr>
        <w:tabs>
          <w:tab w:val="left" w:pos="1900"/>
        </w:tabs>
        <w:rPr>
          <w:rFonts w:ascii="Calibri" w:hAnsi="Calibri" w:cs="Calibri"/>
          <w:sz w:val="24"/>
          <w:szCs w:val="24"/>
          <w:lang w:val="en-GB" w:eastAsia="en-GB"/>
        </w:rPr>
      </w:pPr>
      <w:r w:rsidRPr="004003F8">
        <w:rPr>
          <w:rFonts w:ascii="Calibri" w:hAnsi="Calibri" w:cs="Calibri"/>
          <w:sz w:val="24"/>
          <w:szCs w:val="24"/>
          <w:lang w:val="en-GB" w:eastAsia="en-GB"/>
        </w:rPr>
        <w:t>This policy will be reviewed annually to ensure it remains effective, up to date, and aligned with current best practice and statutory expectations.</w:t>
      </w:r>
    </w:p>
    <w:p w14:paraId="2FA66A02"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p>
    <w:p w14:paraId="0FD5BEB2" w14:textId="77777777" w:rsidR="0041171E" w:rsidRPr="0041171E" w:rsidRDefault="0041171E" w:rsidP="0041171E">
      <w:pPr>
        <w:ind w:left="3240" w:firstLine="360"/>
        <w:rPr>
          <w:rFonts w:ascii="Century Gothic" w:hAnsi="Century Gothic" w:cs="Arial"/>
          <w:b/>
          <w:bCs/>
          <w:sz w:val="24"/>
          <w:szCs w:val="24"/>
          <w:u w:val="single"/>
        </w:rPr>
      </w:pPr>
    </w:p>
    <w:p w14:paraId="4DDDCE94" w14:textId="77777777" w:rsidR="0041171E" w:rsidRDefault="0041171E" w:rsidP="0041171E">
      <w:pPr>
        <w:ind w:left="3240" w:firstLine="360"/>
        <w:rPr>
          <w:rFonts w:ascii="Century Gothic" w:hAnsi="Century Gothic" w:cs="Arial"/>
          <w:b/>
          <w:bCs/>
          <w:sz w:val="24"/>
          <w:szCs w:val="24"/>
        </w:rPr>
      </w:pPr>
    </w:p>
    <w:p w14:paraId="6AD59DA9" w14:textId="77777777" w:rsidR="00101E9A" w:rsidRDefault="00101E9A" w:rsidP="0041171E">
      <w:pPr>
        <w:ind w:left="3240" w:firstLine="360"/>
        <w:rPr>
          <w:rFonts w:ascii="Century Gothic" w:hAnsi="Century Gothic" w:cs="Arial"/>
          <w:b/>
          <w:bCs/>
          <w:sz w:val="24"/>
          <w:szCs w:val="24"/>
        </w:rPr>
      </w:pPr>
    </w:p>
    <w:p w14:paraId="61FA8BA4" w14:textId="77777777" w:rsidR="00101E9A" w:rsidRDefault="00101E9A" w:rsidP="0041171E">
      <w:pPr>
        <w:ind w:left="3240" w:firstLine="360"/>
        <w:rPr>
          <w:rFonts w:ascii="Century Gothic" w:hAnsi="Century Gothic" w:cs="Arial"/>
          <w:b/>
          <w:bCs/>
          <w:sz w:val="24"/>
          <w:szCs w:val="24"/>
        </w:rPr>
      </w:pPr>
    </w:p>
    <w:p w14:paraId="2302A1FB" w14:textId="77777777" w:rsidR="00101E9A" w:rsidRPr="0041171E" w:rsidRDefault="00101E9A" w:rsidP="0041171E">
      <w:pPr>
        <w:ind w:left="3240" w:firstLine="360"/>
        <w:rPr>
          <w:rFonts w:ascii="Century Gothic" w:hAnsi="Century Gothic" w:cs="Arial"/>
          <w:b/>
          <w:bCs/>
          <w:sz w:val="24"/>
          <w:szCs w:val="24"/>
        </w:rPr>
      </w:pPr>
    </w:p>
    <w:p w14:paraId="3E1560DA" w14:textId="4101FF52" w:rsidR="00377B6B" w:rsidRPr="0041171E" w:rsidRDefault="00377B6B" w:rsidP="005D54B8">
      <w:pPr>
        <w:ind w:left="360"/>
        <w:rPr>
          <w:rFonts w:ascii="Century Gothic" w:hAnsi="Century Gothic" w:cs="Arial"/>
          <w:b/>
          <w:bCs/>
          <w:sz w:val="24"/>
          <w:szCs w:val="24"/>
        </w:rPr>
      </w:pPr>
      <w:r w:rsidRPr="0041171E">
        <w:rPr>
          <w:rFonts w:ascii="Century Gothic" w:hAnsi="Century Gothic" w:cs="Arial"/>
          <w:b/>
          <w:bCs/>
          <w:sz w:val="24"/>
          <w:szCs w:val="24"/>
        </w:rPr>
        <w:lastRenderedPageBreak/>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1171E" w14:paraId="568D26A8" w14:textId="77777777" w:rsidTr="001C5447">
        <w:tc>
          <w:tcPr>
            <w:tcW w:w="1134" w:type="dxa"/>
          </w:tcPr>
          <w:p w14:paraId="02402A21"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Version</w:t>
            </w:r>
          </w:p>
        </w:tc>
        <w:tc>
          <w:tcPr>
            <w:tcW w:w="1417" w:type="dxa"/>
          </w:tcPr>
          <w:p w14:paraId="729CDDA5"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Date</w:t>
            </w:r>
          </w:p>
        </w:tc>
        <w:tc>
          <w:tcPr>
            <w:tcW w:w="5102" w:type="dxa"/>
          </w:tcPr>
          <w:p w14:paraId="06F002DA"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Changes</w:t>
            </w:r>
          </w:p>
        </w:tc>
        <w:tc>
          <w:tcPr>
            <w:tcW w:w="1417" w:type="dxa"/>
          </w:tcPr>
          <w:p w14:paraId="40AA0BA2"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Approval</w:t>
            </w:r>
          </w:p>
        </w:tc>
      </w:tr>
      <w:tr w:rsidR="009F0BD2" w:rsidRPr="0041171E" w14:paraId="6BC7BEA1" w14:textId="77777777" w:rsidTr="001C5447">
        <w:tc>
          <w:tcPr>
            <w:tcW w:w="1134" w:type="dxa"/>
          </w:tcPr>
          <w:p w14:paraId="0010EEF3"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1</w:t>
            </w:r>
          </w:p>
        </w:tc>
        <w:tc>
          <w:tcPr>
            <w:tcW w:w="1417" w:type="dxa"/>
          </w:tcPr>
          <w:p w14:paraId="24AB93AE"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2026</w:t>
            </w:r>
          </w:p>
        </w:tc>
        <w:tc>
          <w:tcPr>
            <w:tcW w:w="5102" w:type="dxa"/>
          </w:tcPr>
          <w:p w14:paraId="230F8C05"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Re-branded to KCS. Formatting.</w:t>
            </w:r>
          </w:p>
          <w:p w14:paraId="654D44EA" w14:textId="1AAFD7BF" w:rsidR="00AB7C8D" w:rsidRPr="0041171E" w:rsidRDefault="00AB7C8D" w:rsidP="005D54B8">
            <w:pPr>
              <w:rPr>
                <w:rFonts w:ascii="Century Gothic" w:hAnsi="Century Gothic" w:cs="Arial"/>
                <w:bCs/>
                <w:sz w:val="24"/>
                <w:szCs w:val="24"/>
              </w:rPr>
            </w:pPr>
          </w:p>
        </w:tc>
        <w:tc>
          <w:tcPr>
            <w:tcW w:w="1417" w:type="dxa"/>
          </w:tcPr>
          <w:p w14:paraId="6059B027"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SO</w:t>
            </w:r>
          </w:p>
        </w:tc>
      </w:tr>
      <w:tr w:rsidR="009F0BD2" w:rsidRPr="0041171E" w14:paraId="681A3F30" w14:textId="77777777" w:rsidTr="001C5447">
        <w:tc>
          <w:tcPr>
            <w:tcW w:w="1134" w:type="dxa"/>
          </w:tcPr>
          <w:p w14:paraId="68E906FE" w14:textId="77777777" w:rsidR="009F0BD2" w:rsidRPr="0041171E" w:rsidRDefault="009F0BD2" w:rsidP="005D54B8">
            <w:pPr>
              <w:rPr>
                <w:rFonts w:ascii="Century Gothic" w:hAnsi="Century Gothic" w:cs="Arial"/>
                <w:bCs/>
                <w:sz w:val="24"/>
                <w:szCs w:val="24"/>
              </w:rPr>
            </w:pPr>
          </w:p>
        </w:tc>
        <w:tc>
          <w:tcPr>
            <w:tcW w:w="1417" w:type="dxa"/>
          </w:tcPr>
          <w:p w14:paraId="4EBE3CAD" w14:textId="77777777" w:rsidR="009F0BD2" w:rsidRPr="0041171E" w:rsidRDefault="009F0BD2" w:rsidP="005D54B8">
            <w:pPr>
              <w:rPr>
                <w:rFonts w:ascii="Century Gothic" w:hAnsi="Century Gothic" w:cs="Arial"/>
                <w:bCs/>
                <w:sz w:val="24"/>
                <w:szCs w:val="24"/>
              </w:rPr>
            </w:pPr>
          </w:p>
        </w:tc>
        <w:tc>
          <w:tcPr>
            <w:tcW w:w="5102" w:type="dxa"/>
          </w:tcPr>
          <w:p w14:paraId="732AA318" w14:textId="77777777" w:rsidR="009F0BD2" w:rsidRPr="0041171E" w:rsidRDefault="009F0BD2" w:rsidP="005D54B8">
            <w:pPr>
              <w:rPr>
                <w:rFonts w:ascii="Century Gothic" w:hAnsi="Century Gothic" w:cs="Arial"/>
                <w:bCs/>
                <w:sz w:val="24"/>
                <w:szCs w:val="24"/>
              </w:rPr>
            </w:pPr>
          </w:p>
        </w:tc>
        <w:tc>
          <w:tcPr>
            <w:tcW w:w="1417" w:type="dxa"/>
          </w:tcPr>
          <w:p w14:paraId="45BFBF49" w14:textId="77777777" w:rsidR="009F0BD2" w:rsidRPr="0041171E" w:rsidRDefault="009F0BD2" w:rsidP="005D54B8">
            <w:pPr>
              <w:rPr>
                <w:rFonts w:ascii="Century Gothic" w:hAnsi="Century Gothic" w:cs="Arial"/>
                <w:bCs/>
                <w:sz w:val="24"/>
                <w:szCs w:val="24"/>
              </w:rPr>
            </w:pPr>
          </w:p>
        </w:tc>
      </w:tr>
    </w:tbl>
    <w:p w14:paraId="45F92653" w14:textId="77777777" w:rsidR="009F0BD2" w:rsidRPr="0041171E" w:rsidRDefault="009F0BD2" w:rsidP="005D54B8">
      <w:pPr>
        <w:ind w:left="360"/>
        <w:rPr>
          <w:rFonts w:ascii="Century Gothic" w:hAnsi="Century Gothic" w:cs="Arial"/>
          <w:b/>
          <w:bCs/>
          <w:sz w:val="24"/>
          <w:szCs w:val="24"/>
        </w:rPr>
      </w:pPr>
    </w:p>
    <w:p w14:paraId="2ECD09C6" w14:textId="77777777" w:rsidR="00E5179C" w:rsidRPr="0041171E" w:rsidRDefault="00E5179C" w:rsidP="005D54B8">
      <w:pPr>
        <w:rPr>
          <w:rFonts w:ascii="Century Gothic" w:hAnsi="Century Gothic" w:cs="Arial"/>
          <w:sz w:val="24"/>
          <w:szCs w:val="24"/>
          <w:lang w:val="en-GB"/>
        </w:rPr>
      </w:pPr>
    </w:p>
    <w:p w14:paraId="0AFCCE38" w14:textId="77777777" w:rsidR="0079547C" w:rsidRPr="0041171E" w:rsidRDefault="0079547C" w:rsidP="005D54B8">
      <w:pPr>
        <w:rPr>
          <w:rFonts w:ascii="Century Gothic" w:hAnsi="Century Gothic" w:cs="Arial"/>
          <w:sz w:val="24"/>
          <w:szCs w:val="24"/>
          <w:lang w:val="en-GB"/>
        </w:rPr>
      </w:pPr>
    </w:p>
    <w:sectPr w:rsidR="0079547C" w:rsidRPr="0041171E" w:rsidSect="00CB7E1A">
      <w:headerReference w:type="default" r:id="rId10"/>
      <w:footerReference w:type="default" r:id="rId11"/>
      <w:headerReference w:type="first" r:id="rId12"/>
      <w:footerReference w:type="first" r:id="rId13"/>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E899" w14:textId="77777777" w:rsidR="000D5344" w:rsidRDefault="000D5344">
      <w:r>
        <w:separator/>
      </w:r>
    </w:p>
  </w:endnote>
  <w:endnote w:type="continuationSeparator" w:id="0">
    <w:p w14:paraId="2B4CF24D" w14:textId="77777777" w:rsidR="000D5344" w:rsidRDefault="000D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E818" w14:textId="77777777" w:rsidR="000D5344" w:rsidRDefault="000D5344">
      <w:r>
        <w:separator/>
      </w:r>
    </w:p>
  </w:footnote>
  <w:footnote w:type="continuationSeparator" w:id="0">
    <w:p w14:paraId="21BFB17E" w14:textId="77777777" w:rsidR="000D5344" w:rsidRDefault="000D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DE74B17"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06176B">
            <w:rPr>
              <w:rFonts w:ascii="Century Gothic" w:hAnsi="Century Gothic" w:cs="Arial"/>
              <w:kern w:val="2"/>
              <w:sz w:val="24"/>
              <w:szCs w:val="24"/>
            </w:rPr>
            <w:t xml:space="preserve">Marking Policy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60A624FD"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003F8">
            <w:rPr>
              <w:rFonts w:ascii="Century Gothic" w:hAnsi="Century Gothic" w:cs="Arial"/>
              <w:kern w:val="2"/>
              <w:sz w:val="24"/>
              <w:szCs w:val="24"/>
            </w:rPr>
            <w:t xml:space="preserve">Marking Policy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F4876"/>
    <w:multiLevelType w:val="multilevel"/>
    <w:tmpl w:val="50A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12AC2"/>
    <w:multiLevelType w:val="multilevel"/>
    <w:tmpl w:val="36B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963A3"/>
    <w:multiLevelType w:val="multilevel"/>
    <w:tmpl w:val="5670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639FB"/>
    <w:multiLevelType w:val="multilevel"/>
    <w:tmpl w:val="10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43598"/>
    <w:multiLevelType w:val="multilevel"/>
    <w:tmpl w:val="A940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D3D12"/>
    <w:multiLevelType w:val="multilevel"/>
    <w:tmpl w:val="14FE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FA0515"/>
    <w:multiLevelType w:val="multilevel"/>
    <w:tmpl w:val="6FC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40C4534A"/>
    <w:multiLevelType w:val="hybridMultilevel"/>
    <w:tmpl w:val="08A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9"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5879642A"/>
    <w:multiLevelType w:val="multilevel"/>
    <w:tmpl w:val="F04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5"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910C3D"/>
    <w:multiLevelType w:val="multilevel"/>
    <w:tmpl w:val="4C0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0" w15:restartNumberingAfterBreak="0">
    <w:nsid w:val="795E6B48"/>
    <w:multiLevelType w:val="multilevel"/>
    <w:tmpl w:val="012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D4844"/>
    <w:multiLevelType w:val="multilevel"/>
    <w:tmpl w:val="4C18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E4079"/>
    <w:multiLevelType w:val="multilevel"/>
    <w:tmpl w:val="2E0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22"/>
  </w:num>
  <w:num w:numId="2" w16cid:durableId="1471946800">
    <w:abstractNumId w:val="27"/>
  </w:num>
  <w:num w:numId="3" w16cid:durableId="1424760214">
    <w:abstractNumId w:val="31"/>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4"/>
  </w:num>
  <w:num w:numId="6" w16cid:durableId="828208487">
    <w:abstractNumId w:val="28"/>
  </w:num>
  <w:num w:numId="7" w16cid:durableId="1279753960">
    <w:abstractNumId w:val="23"/>
  </w:num>
  <w:num w:numId="8" w16cid:durableId="1941797204">
    <w:abstractNumId w:val="6"/>
  </w:num>
  <w:num w:numId="9" w16cid:durableId="242759531">
    <w:abstractNumId w:val="8"/>
  </w:num>
  <w:num w:numId="10" w16cid:durableId="2123261694">
    <w:abstractNumId w:val="4"/>
  </w:num>
  <w:num w:numId="11" w16cid:durableId="206261382">
    <w:abstractNumId w:val="25"/>
  </w:num>
  <w:num w:numId="12" w16cid:durableId="561913282">
    <w:abstractNumId w:val="21"/>
  </w:num>
  <w:num w:numId="13" w16cid:durableId="1519082865">
    <w:abstractNumId w:val="13"/>
  </w:num>
  <w:num w:numId="14" w16cid:durableId="1951662821">
    <w:abstractNumId w:val="18"/>
  </w:num>
  <w:num w:numId="15" w16cid:durableId="1048526627">
    <w:abstractNumId w:val="3"/>
  </w:num>
  <w:num w:numId="16" w16cid:durableId="1611742168">
    <w:abstractNumId w:val="1"/>
  </w:num>
  <w:num w:numId="17" w16cid:durableId="121462840">
    <w:abstractNumId w:val="19"/>
  </w:num>
  <w:num w:numId="18" w16cid:durableId="431440428">
    <w:abstractNumId w:val="2"/>
  </w:num>
  <w:num w:numId="19" w16cid:durableId="1195920546">
    <w:abstractNumId w:val="16"/>
  </w:num>
  <w:num w:numId="20" w16cid:durableId="606038626">
    <w:abstractNumId w:val="24"/>
  </w:num>
  <w:num w:numId="21" w16cid:durableId="1837265619">
    <w:abstractNumId w:val="29"/>
  </w:num>
  <w:num w:numId="22" w16cid:durableId="357656474">
    <w:abstractNumId w:val="10"/>
  </w:num>
  <w:num w:numId="23" w16cid:durableId="1176964740">
    <w:abstractNumId w:val="20"/>
  </w:num>
  <w:num w:numId="24" w16cid:durableId="316299078">
    <w:abstractNumId w:val="9"/>
  </w:num>
  <w:num w:numId="25" w16cid:durableId="1433625524">
    <w:abstractNumId w:val="32"/>
  </w:num>
  <w:num w:numId="26" w16cid:durableId="1243180439">
    <w:abstractNumId w:val="26"/>
  </w:num>
  <w:num w:numId="27" w16cid:durableId="192621925">
    <w:abstractNumId w:val="12"/>
  </w:num>
  <w:num w:numId="28" w16cid:durableId="992834319">
    <w:abstractNumId w:val="7"/>
  </w:num>
  <w:num w:numId="29" w16cid:durableId="1654673233">
    <w:abstractNumId w:val="5"/>
  </w:num>
  <w:num w:numId="30" w16cid:durableId="237635858">
    <w:abstractNumId w:val="15"/>
  </w:num>
  <w:num w:numId="31" w16cid:durableId="604046710">
    <w:abstractNumId w:val="33"/>
  </w:num>
  <w:num w:numId="32" w16cid:durableId="991526835">
    <w:abstractNumId w:val="30"/>
  </w:num>
  <w:num w:numId="33" w16cid:durableId="951520174">
    <w:abstractNumId w:val="11"/>
  </w:num>
  <w:num w:numId="34" w16cid:durableId="38595919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176B"/>
    <w:rsid w:val="0006671E"/>
    <w:rsid w:val="000D1CD9"/>
    <w:rsid w:val="000D5344"/>
    <w:rsid w:val="00101E9A"/>
    <w:rsid w:val="001172C5"/>
    <w:rsid w:val="00191614"/>
    <w:rsid w:val="001A525D"/>
    <w:rsid w:val="001B2DCA"/>
    <w:rsid w:val="001E52D6"/>
    <w:rsid w:val="001F55FB"/>
    <w:rsid w:val="002075E8"/>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4003F8"/>
    <w:rsid w:val="0041171E"/>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84D55"/>
    <w:rsid w:val="006D09DF"/>
    <w:rsid w:val="006D6C6C"/>
    <w:rsid w:val="0079547C"/>
    <w:rsid w:val="007A0CD9"/>
    <w:rsid w:val="007A6431"/>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64D95"/>
    <w:rsid w:val="00BE58EF"/>
    <w:rsid w:val="00BF4B45"/>
    <w:rsid w:val="00C03ADE"/>
    <w:rsid w:val="00C2406E"/>
    <w:rsid w:val="00C615B5"/>
    <w:rsid w:val="00C666B5"/>
    <w:rsid w:val="00C70B28"/>
    <w:rsid w:val="00C73723"/>
    <w:rsid w:val="00C840FC"/>
    <w:rsid w:val="00CB7E1A"/>
    <w:rsid w:val="00CF5528"/>
    <w:rsid w:val="00D1426B"/>
    <w:rsid w:val="00D25077"/>
    <w:rsid w:val="00D40CF6"/>
    <w:rsid w:val="00D57CC0"/>
    <w:rsid w:val="00D704A8"/>
    <w:rsid w:val="00DA0233"/>
    <w:rsid w:val="00DA658D"/>
    <w:rsid w:val="00DB53E5"/>
    <w:rsid w:val="00DC667F"/>
    <w:rsid w:val="00DD693A"/>
    <w:rsid w:val="00E5179C"/>
    <w:rsid w:val="00E9761B"/>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7</cp:revision>
  <cp:lastPrinted>2016-10-09T15:55:00Z</cp:lastPrinted>
  <dcterms:created xsi:type="dcterms:W3CDTF">2026-06-15T22:12:00Z</dcterms:created>
  <dcterms:modified xsi:type="dcterms:W3CDTF">2026-06-18T13:52:00Z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98ed6e6e-5bd8-495c-a953-139cfc34e979</vt:lpwstr>
  </property>
</Properties>
</file>