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2428F" w:rsidRDefault="005A70CC" w:rsidP="005D54B8">
      <w:pPr>
        <w:pStyle w:val="Title"/>
        <w:jc w:val="left"/>
        <w:rPr>
          <w:rFonts w:ascii="Century Gothic" w:hAnsi="Century Gothic" w:cs="Arial"/>
          <w:szCs w:val="24"/>
        </w:rPr>
      </w:pPr>
      <w:r w:rsidRPr="0032428F">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2428F" w:rsidRDefault="00A14250" w:rsidP="005D54B8">
      <w:pPr>
        <w:pStyle w:val="Title"/>
        <w:rPr>
          <w:rFonts w:ascii="Century Gothic" w:hAnsi="Century Gothic" w:cs="Arial"/>
          <w:szCs w:val="24"/>
          <w:u w:val="single"/>
        </w:rPr>
      </w:pPr>
    </w:p>
    <w:p w14:paraId="7F901F0B" w14:textId="77777777" w:rsidR="00A14250" w:rsidRPr="0032428F" w:rsidRDefault="00A14250" w:rsidP="005D54B8">
      <w:pPr>
        <w:pStyle w:val="Title"/>
        <w:rPr>
          <w:rFonts w:ascii="Century Gothic" w:hAnsi="Century Gothic" w:cs="Arial"/>
          <w:szCs w:val="24"/>
          <w:u w:val="single"/>
        </w:rPr>
      </w:pPr>
    </w:p>
    <w:p w14:paraId="4DE5883F" w14:textId="77777777" w:rsidR="00A14250" w:rsidRPr="0032428F" w:rsidRDefault="00A14250" w:rsidP="0032428F">
      <w:pPr>
        <w:pStyle w:val="Title"/>
        <w:jc w:val="left"/>
        <w:rPr>
          <w:rFonts w:ascii="Century Gothic" w:hAnsi="Century Gothic" w:cs="Arial"/>
          <w:szCs w:val="24"/>
          <w:u w:val="single"/>
        </w:rPr>
      </w:pPr>
    </w:p>
    <w:p w14:paraId="3CCBEB2A" w14:textId="77777777" w:rsidR="0032428F" w:rsidRPr="0032428F" w:rsidRDefault="0032428F" w:rsidP="0032428F">
      <w:pPr>
        <w:pStyle w:val="Title"/>
        <w:rPr>
          <w:rFonts w:ascii="Century Gothic" w:hAnsi="Century Gothic" w:cs="Arial"/>
          <w:szCs w:val="24"/>
          <w:u w:val="single"/>
        </w:rPr>
      </w:pPr>
    </w:p>
    <w:p w14:paraId="5828720A" w14:textId="451BD118" w:rsidR="008D7AEE" w:rsidRPr="008D7AEE" w:rsidRDefault="008D7AEE" w:rsidP="008D7AEE">
      <w:pPr>
        <w:ind w:left="360"/>
        <w:jc w:val="center"/>
        <w:rPr>
          <w:rFonts w:ascii="Century Gothic" w:hAnsi="Century Gothic" w:cs="Arial"/>
          <w:b/>
          <w:bCs/>
          <w:sz w:val="24"/>
          <w:szCs w:val="24"/>
          <w:u w:val="single"/>
        </w:rPr>
      </w:pPr>
      <w:r w:rsidRPr="008D7AEE">
        <w:rPr>
          <w:rFonts w:ascii="Century Gothic" w:hAnsi="Century Gothic" w:cs="Arial"/>
          <w:b/>
          <w:bCs/>
          <w:sz w:val="24"/>
          <w:szCs w:val="24"/>
          <w:u w:val="single"/>
        </w:rPr>
        <w:t xml:space="preserve">Curriculum Policy: </w:t>
      </w:r>
      <w:r w:rsidR="00C666B5">
        <w:rPr>
          <w:rFonts w:ascii="Century Gothic" w:hAnsi="Century Gothic" w:cs="Arial"/>
          <w:b/>
          <w:bCs/>
          <w:sz w:val="24"/>
          <w:szCs w:val="24"/>
          <w:u w:val="single"/>
        </w:rPr>
        <w:t>Science</w:t>
      </w:r>
    </w:p>
    <w:p w14:paraId="22ABC1E7" w14:textId="77777777" w:rsidR="008D7AEE" w:rsidRPr="008D7AEE" w:rsidRDefault="008D7AEE" w:rsidP="008D7AEE">
      <w:pPr>
        <w:ind w:left="360"/>
        <w:rPr>
          <w:rFonts w:ascii="Century Gothic" w:hAnsi="Century Gothic" w:cs="Arial"/>
          <w:sz w:val="24"/>
          <w:szCs w:val="24"/>
        </w:rPr>
      </w:pPr>
    </w:p>
    <w:p w14:paraId="323A6D59" w14:textId="77777777" w:rsidR="008D7AEE" w:rsidRPr="008D7AEE" w:rsidRDefault="008D7AEE" w:rsidP="008D7AEE">
      <w:pPr>
        <w:ind w:left="360"/>
        <w:rPr>
          <w:rFonts w:ascii="Century Gothic" w:hAnsi="Century Gothic" w:cs="Arial"/>
          <w:sz w:val="24"/>
          <w:szCs w:val="24"/>
        </w:rPr>
      </w:pPr>
    </w:p>
    <w:p w14:paraId="23EB9BB0" w14:textId="77777777" w:rsidR="00C666B5" w:rsidRPr="00C666B5" w:rsidRDefault="00C666B5" w:rsidP="00C666B5">
      <w:pPr>
        <w:rPr>
          <w:rFonts w:ascii="Century Gothic" w:hAnsi="Century Gothic" w:cs="Arial"/>
          <w:sz w:val="24"/>
          <w:szCs w:val="24"/>
        </w:rPr>
      </w:pPr>
      <w:r w:rsidRPr="00C666B5">
        <w:rPr>
          <w:rFonts w:ascii="Century Gothic" w:hAnsi="Century Gothic" w:cs="Arial"/>
          <w:b/>
          <w:bCs/>
          <w:sz w:val="24"/>
          <w:szCs w:val="24"/>
        </w:rPr>
        <w:t>Introduction:</w:t>
      </w:r>
      <w:r w:rsidRPr="00C666B5">
        <w:rPr>
          <w:rFonts w:ascii="Century Gothic" w:hAnsi="Century Gothic" w:cs="Arial"/>
          <w:sz w:val="24"/>
          <w:szCs w:val="24"/>
        </w:rPr>
        <w:t xml:space="preserve"> As a Christian, Independent School, our teaching aims to promote the Christian values of: courage, respect, truth, compassion, creativity, community and working hard. This is achieved through well planned curriculum content, the conduct of teachers and the general school ethos which underpins learning. </w:t>
      </w:r>
    </w:p>
    <w:p w14:paraId="20C084CF"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Science is a core subject in the National Curriculum and is part of Understanding the World in the Early Years Foundation Stage (EYFS). This policy outlines the vision for teaching, nature of the subject, implementation and assessment of Science taught in our school and reinforces our Christian values.</w:t>
      </w:r>
    </w:p>
    <w:p w14:paraId="14B3B2D2" w14:textId="77777777" w:rsidR="00C666B5" w:rsidRPr="00C666B5" w:rsidRDefault="00C666B5" w:rsidP="00C666B5">
      <w:pPr>
        <w:rPr>
          <w:rFonts w:ascii="Century Gothic" w:hAnsi="Century Gothic" w:cs="Arial"/>
          <w:sz w:val="24"/>
          <w:szCs w:val="24"/>
        </w:rPr>
      </w:pPr>
    </w:p>
    <w:p w14:paraId="4CDFEFEA" w14:textId="77777777" w:rsidR="00C666B5" w:rsidRPr="00C666B5" w:rsidRDefault="00C666B5" w:rsidP="00C666B5">
      <w:pPr>
        <w:rPr>
          <w:rFonts w:ascii="Century Gothic" w:hAnsi="Century Gothic" w:cs="Arial"/>
          <w:b/>
          <w:bCs/>
          <w:sz w:val="24"/>
          <w:szCs w:val="24"/>
        </w:rPr>
      </w:pPr>
      <w:r w:rsidRPr="00C666B5">
        <w:rPr>
          <w:rFonts w:ascii="Century Gothic" w:hAnsi="Century Gothic" w:cs="Arial"/>
          <w:b/>
          <w:bCs/>
          <w:sz w:val="24"/>
          <w:szCs w:val="24"/>
        </w:rPr>
        <w:t xml:space="preserve">Vision for teaching: </w:t>
      </w:r>
    </w:p>
    <w:p w14:paraId="4603C4BD"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 to provide appropriate and stimulating first-hand scientific experiences which encourage pupils to make sense of God’s creation. </w:t>
      </w:r>
    </w:p>
    <w:p w14:paraId="199F739C"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to develop a positive attitude towards scientific enquiry and an awareness of the influence of science in everyday life.</w:t>
      </w:r>
    </w:p>
    <w:p w14:paraId="1522DF32"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to deliver activities that meet the requirements of the National Curriculum in a way that is appropriate to the needs and interests of all pupils and which challenge them to fulfil their potential.</w:t>
      </w:r>
    </w:p>
    <w:p w14:paraId="75D94B7D"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 to encourage the children to </w:t>
      </w:r>
      <w:proofErr w:type="spellStart"/>
      <w:r w:rsidRPr="00C666B5">
        <w:rPr>
          <w:rFonts w:ascii="Century Gothic" w:hAnsi="Century Gothic" w:cs="Arial"/>
          <w:sz w:val="24"/>
          <w:szCs w:val="24"/>
        </w:rPr>
        <w:t>hypothesise</w:t>
      </w:r>
      <w:proofErr w:type="spellEnd"/>
      <w:r w:rsidRPr="00C666B5">
        <w:rPr>
          <w:rFonts w:ascii="Century Gothic" w:hAnsi="Century Gothic" w:cs="Arial"/>
          <w:sz w:val="24"/>
          <w:szCs w:val="24"/>
        </w:rPr>
        <w:t>, investigate, draw conclusions and record their findings in a variety of ways.</w:t>
      </w:r>
    </w:p>
    <w:p w14:paraId="2C3201CF"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for pupils to apply their scientific knowledge and skills to solve problems in a wide variety of contexts</w:t>
      </w:r>
    </w:p>
    <w:p w14:paraId="157C1E5F"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 to develop pupils’ knowledge and use of scientific vocabulary. </w:t>
      </w:r>
    </w:p>
    <w:p w14:paraId="55A5D084"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to develop a sense of responsibility and care for the whole of God’s creation.</w:t>
      </w:r>
    </w:p>
    <w:p w14:paraId="2AB42780" w14:textId="464FD9AE"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to give the children a broad, balanced view of the relationship between science and the Christian faith.</w:t>
      </w:r>
    </w:p>
    <w:p w14:paraId="5C5C32BD" w14:textId="77777777" w:rsidR="00C666B5" w:rsidRPr="00C666B5" w:rsidRDefault="00C666B5" w:rsidP="00C666B5">
      <w:pPr>
        <w:rPr>
          <w:rFonts w:ascii="Century Gothic" w:hAnsi="Century Gothic" w:cs="Arial"/>
          <w:sz w:val="24"/>
          <w:szCs w:val="24"/>
        </w:rPr>
      </w:pPr>
    </w:p>
    <w:p w14:paraId="58136350" w14:textId="77777777" w:rsidR="00C666B5" w:rsidRPr="00C666B5" w:rsidRDefault="00C666B5" w:rsidP="00C666B5">
      <w:pPr>
        <w:rPr>
          <w:rFonts w:ascii="Century Gothic" w:hAnsi="Century Gothic" w:cs="Arial"/>
          <w:sz w:val="24"/>
          <w:szCs w:val="24"/>
        </w:rPr>
      </w:pPr>
      <w:r w:rsidRPr="00C666B5">
        <w:rPr>
          <w:rFonts w:ascii="Century Gothic" w:hAnsi="Century Gothic" w:cs="Arial"/>
          <w:b/>
          <w:bCs/>
          <w:sz w:val="24"/>
          <w:szCs w:val="24"/>
        </w:rPr>
        <w:t xml:space="preserve"> Nature of subject:</w:t>
      </w:r>
      <w:r w:rsidRPr="00C666B5">
        <w:rPr>
          <w:rFonts w:ascii="Century Gothic" w:hAnsi="Century Gothic" w:cs="Arial"/>
          <w:sz w:val="24"/>
          <w:szCs w:val="24"/>
        </w:rPr>
        <w:t xml:space="preserve"> Science is defined as the study of the physical, chemical and biological processes that take place on earth and in the wider universe. Science can be used to investigate, explore and test the World around us in order to learn more about God’s creation in order to be better stewards of it. We believe that faith and science are interlinked and in using scientific processes we can find out more about the creator. Science should be a fun, engaging and interactive subject which uses practical experiments to capture the children’s imagination and instils in them a sense of awe, wonder and creativity. </w:t>
      </w:r>
    </w:p>
    <w:p w14:paraId="7AD5C80E" w14:textId="77777777" w:rsidR="00C666B5" w:rsidRPr="00C666B5" w:rsidRDefault="00C666B5" w:rsidP="00C666B5">
      <w:pPr>
        <w:rPr>
          <w:rFonts w:ascii="Century Gothic" w:hAnsi="Century Gothic" w:cs="Arial"/>
          <w:sz w:val="24"/>
          <w:szCs w:val="24"/>
        </w:rPr>
      </w:pPr>
    </w:p>
    <w:p w14:paraId="7668B2AD" w14:textId="77777777" w:rsidR="00C666B5" w:rsidRPr="00C666B5" w:rsidRDefault="00C666B5" w:rsidP="00C666B5">
      <w:pPr>
        <w:rPr>
          <w:rFonts w:ascii="Century Gothic" w:hAnsi="Century Gothic" w:cs="Arial"/>
          <w:sz w:val="24"/>
          <w:szCs w:val="24"/>
        </w:rPr>
      </w:pPr>
    </w:p>
    <w:p w14:paraId="299B7EC6"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lastRenderedPageBreak/>
        <w:t xml:space="preserve">Implementation: Kingdom Christian School follows the National Curriculum for science. Lessons are pitched at an appropriate level. Activities and input are differentiated to meet the different ages and abilities within the class. Careful attention is paid to ensure that all children can access and be included in the learning environment. </w:t>
      </w:r>
    </w:p>
    <w:p w14:paraId="4D5B495F" w14:textId="77777777" w:rsidR="00C666B5" w:rsidRPr="00C666B5" w:rsidRDefault="00C666B5" w:rsidP="00C666B5">
      <w:pPr>
        <w:rPr>
          <w:rFonts w:ascii="Century Gothic" w:hAnsi="Century Gothic" w:cs="Arial"/>
          <w:sz w:val="24"/>
          <w:szCs w:val="24"/>
        </w:rPr>
      </w:pPr>
    </w:p>
    <w:p w14:paraId="421A9A60"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Science is taught in a variety of ways including practical investigations in groups and as a class involving predicting, observation, testing, recording and evaluating. Children also explore the environment through visits to the local area and the wider community. </w:t>
      </w:r>
    </w:p>
    <w:p w14:paraId="11A13F0D" w14:textId="77777777" w:rsidR="00C666B5" w:rsidRPr="00C666B5" w:rsidRDefault="00C666B5" w:rsidP="00C666B5">
      <w:pPr>
        <w:rPr>
          <w:rFonts w:ascii="Century Gothic" w:hAnsi="Century Gothic" w:cs="Arial"/>
          <w:sz w:val="24"/>
          <w:szCs w:val="24"/>
        </w:rPr>
      </w:pPr>
    </w:p>
    <w:p w14:paraId="71FC97F5"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Children observe life cycles, plant seeds, investigate habitats and make observations of living things. Visitors from the local area talk to the children about growing vegetables on an allotment and conservationists are invited into school to teach children the importance of sustaining and looking after wildlife. </w:t>
      </w:r>
    </w:p>
    <w:p w14:paraId="025E81BA"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When possible science is taught through practical, hands-on experience and linked with other curriculum areas. </w:t>
      </w:r>
    </w:p>
    <w:p w14:paraId="7EA36973" w14:textId="77777777" w:rsidR="00C666B5" w:rsidRPr="00C666B5" w:rsidRDefault="00C666B5" w:rsidP="00C666B5">
      <w:pPr>
        <w:rPr>
          <w:rFonts w:ascii="Century Gothic" w:hAnsi="Century Gothic" w:cs="Arial"/>
          <w:sz w:val="24"/>
          <w:szCs w:val="24"/>
        </w:rPr>
      </w:pPr>
    </w:p>
    <w:p w14:paraId="5E11596A"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The Nursery classroom provides opportunity for child- led learning in concurrence with the termly topic. When opportunities arise there are ‘investigation areas’ where resources are available and activities are set out for children to explore. This area contains objects from the natural environment such as pine cones, birds’ nests, rocks and fossils. Manmade objects are also available for the children to explore including magnets, metals and torches. Adult-led activities are also planned for and differentiated accordingly.  </w:t>
      </w:r>
    </w:p>
    <w:p w14:paraId="5AA012FE" w14:textId="77777777" w:rsidR="00C666B5" w:rsidRPr="00C666B5" w:rsidRDefault="00C666B5" w:rsidP="00C666B5">
      <w:pPr>
        <w:rPr>
          <w:rFonts w:ascii="Century Gothic" w:hAnsi="Century Gothic" w:cs="Arial"/>
          <w:sz w:val="24"/>
          <w:szCs w:val="24"/>
        </w:rPr>
      </w:pPr>
    </w:p>
    <w:p w14:paraId="4A059229"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All lessons are differentiated for all learning needs and to allow all children to access the learning. Different learning styles are taken into consideration and visual aids are used where necessary. </w:t>
      </w:r>
    </w:p>
    <w:p w14:paraId="52C4FA59" w14:textId="77777777" w:rsidR="00C666B5" w:rsidRPr="00C666B5" w:rsidRDefault="00C666B5" w:rsidP="00C666B5">
      <w:pPr>
        <w:rPr>
          <w:rFonts w:ascii="Century Gothic" w:hAnsi="Century Gothic" w:cs="Arial"/>
          <w:sz w:val="24"/>
          <w:szCs w:val="24"/>
        </w:rPr>
      </w:pPr>
    </w:p>
    <w:p w14:paraId="69C4FECC" w14:textId="77777777" w:rsidR="00C666B5" w:rsidRPr="00C666B5" w:rsidRDefault="00C666B5" w:rsidP="00C666B5">
      <w:pPr>
        <w:rPr>
          <w:rFonts w:ascii="Century Gothic" w:hAnsi="Century Gothic" w:cs="Arial"/>
          <w:sz w:val="24"/>
          <w:szCs w:val="24"/>
        </w:rPr>
      </w:pPr>
      <w:r w:rsidRPr="00C666B5">
        <w:rPr>
          <w:rFonts w:ascii="Century Gothic" w:hAnsi="Century Gothic" w:cs="Arial"/>
          <w:b/>
          <w:bCs/>
          <w:sz w:val="24"/>
          <w:szCs w:val="24"/>
        </w:rPr>
        <w:t>Assessment</w:t>
      </w:r>
      <w:r w:rsidRPr="00C666B5">
        <w:rPr>
          <w:rFonts w:ascii="Century Gothic" w:hAnsi="Century Gothic" w:cs="Arial"/>
          <w:sz w:val="24"/>
          <w:szCs w:val="24"/>
        </w:rPr>
        <w:t>: In this subject, we use two main types of assessment to help us to support all pupils in their achievement:</w:t>
      </w:r>
    </w:p>
    <w:p w14:paraId="456FC97A"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 1. Formative assessment: This is our day to day assessment, based on what children show us they can do in a lesson. This can be in the form of observation, discussion, feedback, questioning, note taking, photo or video evidence or marking and is used to guide the teachers planning for the next lesson. </w:t>
      </w:r>
    </w:p>
    <w:p w14:paraId="6C912057" w14:textId="77777777"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2. Summative assessment: This is usually carried out at the end of a topic or a term. This can be in the form of the above, or an independent task or activity. It assesses what each child has achieved in their learning and whether they are below, at or above the nationally expected average for their age. Children are also expected to retain a set of sticky knowledge. We view this as core learning which needs to be retained and will be built upon as children progress through the science curriculum at Kingdom Christian School. </w:t>
      </w:r>
    </w:p>
    <w:p w14:paraId="0F44ED18" w14:textId="14AF0DC4" w:rsidR="00C666B5" w:rsidRPr="00C666B5" w:rsidRDefault="00C666B5" w:rsidP="00C666B5">
      <w:pPr>
        <w:rPr>
          <w:rFonts w:ascii="Century Gothic" w:hAnsi="Century Gothic" w:cs="Arial"/>
          <w:sz w:val="24"/>
          <w:szCs w:val="24"/>
        </w:rPr>
      </w:pPr>
      <w:r w:rsidRPr="00C666B5">
        <w:rPr>
          <w:rFonts w:ascii="Century Gothic" w:hAnsi="Century Gothic" w:cs="Arial"/>
          <w:sz w:val="24"/>
          <w:szCs w:val="24"/>
        </w:rPr>
        <w:t xml:space="preserve"> In this school, we track progress across each year group in 3 stages: emerging (red), expected (green), exceeding (purple). This information is recorded onto the school’s tracking system. This identifies any less effective areas of the curriculum, or </w:t>
      </w:r>
      <w:r w:rsidRPr="00C666B5">
        <w:rPr>
          <w:rFonts w:ascii="Century Gothic" w:hAnsi="Century Gothic" w:cs="Arial"/>
          <w:sz w:val="24"/>
          <w:szCs w:val="24"/>
        </w:rPr>
        <w:lastRenderedPageBreak/>
        <w:t xml:space="preserve">pupils who need additional support and intervention. Science is assessed as Understanding the World at the end of the Foundation Stage for the EYFSP. </w:t>
      </w:r>
    </w:p>
    <w:p w14:paraId="624864D1" w14:textId="77777777" w:rsidR="00C666B5" w:rsidRPr="00C666B5" w:rsidRDefault="00C666B5" w:rsidP="00C666B5">
      <w:pPr>
        <w:rPr>
          <w:rFonts w:ascii="Century Gothic" w:hAnsi="Century Gothic" w:cs="Arial"/>
          <w:sz w:val="24"/>
          <w:szCs w:val="24"/>
        </w:rPr>
      </w:pPr>
    </w:p>
    <w:p w14:paraId="7394A083" w14:textId="0E50A17C" w:rsidR="0032428F" w:rsidRPr="0032428F" w:rsidRDefault="00C666B5" w:rsidP="00C666B5">
      <w:pPr>
        <w:rPr>
          <w:rFonts w:ascii="Century Gothic" w:hAnsi="Century Gothic" w:cs="Arial"/>
          <w:sz w:val="24"/>
          <w:szCs w:val="24"/>
        </w:rPr>
      </w:pPr>
      <w:r w:rsidRPr="00C666B5">
        <w:rPr>
          <w:rFonts w:ascii="Century Gothic" w:hAnsi="Century Gothic" w:cs="Arial"/>
          <w:sz w:val="24"/>
          <w:szCs w:val="24"/>
        </w:rPr>
        <w:t>Review this policy will be reviewed in light of any recent publications, training or changes to planning and assessment.</w:t>
      </w:r>
    </w:p>
    <w:p w14:paraId="04ACBE17" w14:textId="77777777" w:rsidR="005D54B8" w:rsidRPr="0032428F" w:rsidRDefault="005D54B8" w:rsidP="005D54B8">
      <w:pPr>
        <w:ind w:left="360"/>
        <w:rPr>
          <w:rFonts w:ascii="Century Gothic" w:hAnsi="Century Gothic" w:cs="Arial"/>
          <w:b/>
          <w:bCs/>
          <w:sz w:val="24"/>
          <w:szCs w:val="24"/>
        </w:rPr>
      </w:pPr>
    </w:p>
    <w:p w14:paraId="3E1560DA" w14:textId="4101FF52" w:rsidR="00377B6B" w:rsidRPr="0032428F" w:rsidRDefault="00377B6B" w:rsidP="005D54B8">
      <w:pPr>
        <w:ind w:left="360"/>
        <w:rPr>
          <w:rFonts w:ascii="Century Gothic" w:hAnsi="Century Gothic" w:cs="Arial"/>
          <w:b/>
          <w:bCs/>
          <w:sz w:val="24"/>
          <w:szCs w:val="24"/>
        </w:rPr>
      </w:pPr>
      <w:r w:rsidRPr="0032428F">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32428F" w14:paraId="568D26A8" w14:textId="77777777" w:rsidTr="001C5447">
        <w:tc>
          <w:tcPr>
            <w:tcW w:w="1134" w:type="dxa"/>
          </w:tcPr>
          <w:p w14:paraId="02402A21"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Version</w:t>
            </w:r>
          </w:p>
        </w:tc>
        <w:tc>
          <w:tcPr>
            <w:tcW w:w="1417" w:type="dxa"/>
          </w:tcPr>
          <w:p w14:paraId="729CDDA5"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Date</w:t>
            </w:r>
          </w:p>
        </w:tc>
        <w:tc>
          <w:tcPr>
            <w:tcW w:w="5102" w:type="dxa"/>
          </w:tcPr>
          <w:p w14:paraId="06F002DA"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Changes</w:t>
            </w:r>
          </w:p>
        </w:tc>
        <w:tc>
          <w:tcPr>
            <w:tcW w:w="1417" w:type="dxa"/>
          </w:tcPr>
          <w:p w14:paraId="40AA0BA2"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Approval</w:t>
            </w:r>
          </w:p>
        </w:tc>
      </w:tr>
      <w:tr w:rsidR="009F0BD2" w:rsidRPr="0032428F" w14:paraId="6BC7BEA1" w14:textId="77777777" w:rsidTr="001C5447">
        <w:tc>
          <w:tcPr>
            <w:tcW w:w="1134" w:type="dxa"/>
          </w:tcPr>
          <w:p w14:paraId="0010EEF3"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1</w:t>
            </w:r>
          </w:p>
        </w:tc>
        <w:tc>
          <w:tcPr>
            <w:tcW w:w="1417" w:type="dxa"/>
          </w:tcPr>
          <w:p w14:paraId="24AB93AE"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2026</w:t>
            </w:r>
          </w:p>
        </w:tc>
        <w:tc>
          <w:tcPr>
            <w:tcW w:w="5102" w:type="dxa"/>
          </w:tcPr>
          <w:p w14:paraId="230F8C05" w14:textId="77777777" w:rsidR="009F0BD2" w:rsidRDefault="009F0BD2" w:rsidP="005D54B8">
            <w:pPr>
              <w:rPr>
                <w:rFonts w:ascii="Century Gothic" w:hAnsi="Century Gothic" w:cs="Arial"/>
                <w:bCs/>
                <w:sz w:val="24"/>
                <w:szCs w:val="24"/>
              </w:rPr>
            </w:pPr>
            <w:r w:rsidRPr="0032428F">
              <w:rPr>
                <w:rFonts w:ascii="Century Gothic" w:hAnsi="Century Gothic" w:cs="Arial"/>
                <w:bCs/>
                <w:sz w:val="24"/>
                <w:szCs w:val="24"/>
              </w:rPr>
              <w:t>Re-branded to KCS. Formatting.</w:t>
            </w:r>
          </w:p>
          <w:p w14:paraId="654D44EA" w14:textId="1AAFD7BF" w:rsidR="00AB7C8D" w:rsidRPr="0032428F" w:rsidRDefault="00AB7C8D" w:rsidP="005D54B8">
            <w:pPr>
              <w:rPr>
                <w:rFonts w:ascii="Century Gothic" w:hAnsi="Century Gothic" w:cs="Arial"/>
                <w:bCs/>
                <w:sz w:val="24"/>
                <w:szCs w:val="24"/>
              </w:rPr>
            </w:pPr>
          </w:p>
        </w:tc>
        <w:tc>
          <w:tcPr>
            <w:tcW w:w="1417" w:type="dxa"/>
          </w:tcPr>
          <w:p w14:paraId="6059B027"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SO</w:t>
            </w:r>
          </w:p>
        </w:tc>
      </w:tr>
      <w:tr w:rsidR="009F0BD2" w:rsidRPr="0032428F" w14:paraId="681A3F30" w14:textId="77777777" w:rsidTr="001C5447">
        <w:tc>
          <w:tcPr>
            <w:tcW w:w="1134" w:type="dxa"/>
          </w:tcPr>
          <w:p w14:paraId="68E906FE" w14:textId="77777777" w:rsidR="009F0BD2" w:rsidRPr="0032428F" w:rsidRDefault="009F0BD2" w:rsidP="005D54B8">
            <w:pPr>
              <w:rPr>
                <w:rFonts w:ascii="Century Gothic" w:hAnsi="Century Gothic" w:cs="Arial"/>
                <w:bCs/>
                <w:sz w:val="24"/>
                <w:szCs w:val="24"/>
              </w:rPr>
            </w:pPr>
          </w:p>
        </w:tc>
        <w:tc>
          <w:tcPr>
            <w:tcW w:w="1417" w:type="dxa"/>
          </w:tcPr>
          <w:p w14:paraId="4EBE3CAD" w14:textId="77777777" w:rsidR="009F0BD2" w:rsidRPr="0032428F" w:rsidRDefault="009F0BD2" w:rsidP="005D54B8">
            <w:pPr>
              <w:rPr>
                <w:rFonts w:ascii="Century Gothic" w:hAnsi="Century Gothic" w:cs="Arial"/>
                <w:bCs/>
                <w:sz w:val="24"/>
                <w:szCs w:val="24"/>
              </w:rPr>
            </w:pPr>
          </w:p>
        </w:tc>
        <w:tc>
          <w:tcPr>
            <w:tcW w:w="5102" w:type="dxa"/>
          </w:tcPr>
          <w:p w14:paraId="732AA318" w14:textId="77777777" w:rsidR="009F0BD2" w:rsidRPr="0032428F" w:rsidRDefault="009F0BD2" w:rsidP="005D54B8">
            <w:pPr>
              <w:rPr>
                <w:rFonts w:ascii="Century Gothic" w:hAnsi="Century Gothic" w:cs="Arial"/>
                <w:bCs/>
                <w:sz w:val="24"/>
                <w:szCs w:val="24"/>
              </w:rPr>
            </w:pPr>
          </w:p>
        </w:tc>
        <w:tc>
          <w:tcPr>
            <w:tcW w:w="1417" w:type="dxa"/>
          </w:tcPr>
          <w:p w14:paraId="45BFBF49" w14:textId="77777777" w:rsidR="009F0BD2" w:rsidRPr="0032428F" w:rsidRDefault="009F0BD2" w:rsidP="005D54B8">
            <w:pPr>
              <w:rPr>
                <w:rFonts w:ascii="Century Gothic" w:hAnsi="Century Gothic" w:cs="Arial"/>
                <w:bCs/>
                <w:sz w:val="24"/>
                <w:szCs w:val="24"/>
              </w:rPr>
            </w:pPr>
          </w:p>
        </w:tc>
      </w:tr>
    </w:tbl>
    <w:p w14:paraId="45F92653" w14:textId="77777777" w:rsidR="009F0BD2" w:rsidRPr="0032428F" w:rsidRDefault="009F0BD2" w:rsidP="005D54B8">
      <w:pPr>
        <w:ind w:left="360"/>
        <w:rPr>
          <w:rFonts w:ascii="Century Gothic" w:hAnsi="Century Gothic" w:cs="Arial"/>
          <w:b/>
          <w:bCs/>
          <w:sz w:val="24"/>
          <w:szCs w:val="24"/>
        </w:rPr>
      </w:pPr>
    </w:p>
    <w:p w14:paraId="2ECD09C6" w14:textId="77777777" w:rsidR="00E5179C" w:rsidRPr="0032428F" w:rsidRDefault="00E5179C" w:rsidP="005D54B8">
      <w:pPr>
        <w:rPr>
          <w:rFonts w:ascii="Century Gothic" w:hAnsi="Century Gothic" w:cs="Arial"/>
          <w:sz w:val="24"/>
          <w:szCs w:val="24"/>
          <w:lang w:val="en-GB"/>
        </w:rPr>
      </w:pPr>
    </w:p>
    <w:p w14:paraId="0AFCCE38" w14:textId="77777777" w:rsidR="0079547C" w:rsidRPr="0032428F" w:rsidRDefault="0079547C" w:rsidP="005D54B8">
      <w:pPr>
        <w:rPr>
          <w:rFonts w:ascii="Century Gothic" w:hAnsi="Century Gothic" w:cs="Arial"/>
          <w:sz w:val="24"/>
          <w:szCs w:val="24"/>
          <w:lang w:val="en-GB"/>
        </w:rPr>
      </w:pPr>
    </w:p>
    <w:sectPr w:rsidR="0079547C" w:rsidRPr="0032428F" w:rsidSect="00CB7E1A">
      <w:headerReference w:type="default" r:id="rId9"/>
      <w:footerReference w:type="default" r:id="rId10"/>
      <w:headerReference w:type="first" r:id="rId11"/>
      <w:footerReference w:type="first" r:id="rId12"/>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85FB" w14:textId="77777777" w:rsidR="003F4041" w:rsidRDefault="003F4041">
      <w:r>
        <w:separator/>
      </w:r>
    </w:p>
  </w:endnote>
  <w:endnote w:type="continuationSeparator" w:id="0">
    <w:p w14:paraId="5B5A5266" w14:textId="77777777" w:rsidR="003F4041" w:rsidRDefault="003F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BC1C" w14:textId="77777777" w:rsidR="003F4041" w:rsidRDefault="003F4041">
      <w:r>
        <w:separator/>
      </w:r>
    </w:p>
  </w:footnote>
  <w:footnote w:type="continuationSeparator" w:id="0">
    <w:p w14:paraId="041CC063" w14:textId="77777777" w:rsidR="003F4041" w:rsidRDefault="003F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550182E5"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D7AEE">
            <w:rPr>
              <w:rFonts w:ascii="Century Gothic" w:hAnsi="Century Gothic" w:cs="Arial"/>
              <w:kern w:val="2"/>
              <w:sz w:val="24"/>
              <w:szCs w:val="24"/>
            </w:rPr>
            <w:t xml:space="preserve">Subject </w:t>
          </w:r>
          <w:r w:rsidR="00C666B5">
            <w:rPr>
              <w:rFonts w:ascii="Century Gothic" w:hAnsi="Century Gothic" w:cs="Arial"/>
              <w:kern w:val="2"/>
              <w:sz w:val="24"/>
              <w:szCs w:val="24"/>
            </w:rPr>
            <w:t>Science</w:t>
          </w:r>
          <w:r w:rsidR="00430B18">
            <w:rPr>
              <w:rFonts w:ascii="Century Gothic" w:hAnsi="Century Gothic" w:cs="Arial"/>
              <w:kern w:val="2"/>
              <w:sz w:val="24"/>
              <w:szCs w:val="24"/>
            </w:rPr>
            <w:t xml:space="preserve"> </w:t>
          </w:r>
          <w:r w:rsidR="008D7AEE">
            <w:rPr>
              <w:rFonts w:ascii="Century Gothic" w:hAnsi="Century Gothic" w:cs="Arial"/>
              <w:kern w:val="2"/>
              <w:sz w:val="24"/>
              <w:szCs w:val="24"/>
            </w:rPr>
            <w:t>P</w:t>
          </w:r>
          <w:r w:rsidR="00430B18">
            <w:rPr>
              <w:rFonts w:ascii="Century Gothic" w:hAnsi="Century Gothic" w:cs="Arial"/>
              <w:kern w:val="2"/>
              <w:sz w:val="24"/>
              <w:szCs w:val="24"/>
            </w:rPr>
            <w:t xml:space="preserve">olicy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58A5DD75"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8D7AEE">
            <w:rPr>
              <w:rFonts w:ascii="Century Gothic" w:hAnsi="Century Gothic" w:cs="Arial"/>
              <w:kern w:val="2"/>
              <w:sz w:val="24"/>
              <w:szCs w:val="24"/>
            </w:rPr>
            <w:t xml:space="preserve">Subject </w:t>
          </w:r>
          <w:r w:rsidR="00C666B5">
            <w:rPr>
              <w:rFonts w:ascii="Century Gothic" w:hAnsi="Century Gothic" w:cs="Arial"/>
              <w:kern w:val="2"/>
              <w:sz w:val="24"/>
              <w:szCs w:val="24"/>
            </w:rPr>
            <w:t xml:space="preserve">Science </w:t>
          </w:r>
          <w:r w:rsidR="008D7AEE">
            <w:rPr>
              <w:rFonts w:ascii="Century Gothic" w:hAnsi="Century Gothic" w:cs="Arial"/>
              <w:kern w:val="2"/>
              <w:sz w:val="24"/>
              <w:szCs w:val="24"/>
            </w:rPr>
            <w:t>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5"/>
  </w:num>
  <w:num w:numId="2" w16cid:durableId="1471946800">
    <w:abstractNumId w:val="8"/>
  </w:num>
  <w:num w:numId="3" w16cid:durableId="1424760214">
    <w:abstractNumId w:val="1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4"/>
  </w:num>
  <w:num w:numId="6" w16cid:durableId="828208487">
    <w:abstractNumId w:val="9"/>
  </w:num>
  <w:num w:numId="7" w16cid:durableId="1279753960">
    <w:abstractNumId w:val="6"/>
  </w:num>
  <w:num w:numId="8" w16cid:durableId="1941797204">
    <w:abstractNumId w:val="2"/>
  </w:num>
  <w:num w:numId="9" w16cid:durableId="242759531">
    <w:abstractNumId w:val="3"/>
  </w:num>
  <w:num w:numId="10" w16cid:durableId="2123261694">
    <w:abstractNumId w:val="1"/>
  </w:num>
  <w:num w:numId="11" w16cid:durableId="2062613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2406E"/>
    <w:rsid w:val="00C615B5"/>
    <w:rsid w:val="00C666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3</cp:revision>
  <cp:lastPrinted>2016-10-09T15:55:00Z</cp:lastPrinted>
  <dcterms:created xsi:type="dcterms:W3CDTF">2026-06-15T19:15:00Z</dcterms:created>
  <dcterms:modified xsi:type="dcterms:W3CDTF">2026-06-15T19:15:00Z</dcterms:modified>
</cp:coreProperties>
</file>